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E2" w:rsidRPr="001C65E2" w:rsidRDefault="001C65E2">
      <w:pPr>
        <w:rPr>
          <w:rStyle w:val="sartttl"/>
          <w:rFonts w:ascii="Verdana" w:hAnsi="Verdana"/>
          <w:b/>
          <w:bCs/>
          <w:color w:val="00008B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1C65E2">
        <w:rPr>
          <w:rStyle w:val="sartttl"/>
          <w:rFonts w:ascii="Verdana" w:hAnsi="Verdana"/>
          <w:b/>
          <w:bCs/>
          <w:color w:val="00008B"/>
          <w:sz w:val="28"/>
          <w:szCs w:val="28"/>
          <w:bdr w:val="none" w:sz="0" w:space="0" w:color="auto" w:frame="1"/>
          <w:shd w:val="clear" w:color="auto" w:fill="FFFFFF"/>
        </w:rPr>
        <w:t>Articolul</w:t>
      </w:r>
      <w:proofErr w:type="spellEnd"/>
      <w:r w:rsidRPr="001C65E2">
        <w:rPr>
          <w:rStyle w:val="sartttl"/>
          <w:rFonts w:ascii="Verdana" w:hAnsi="Verdana"/>
          <w:b/>
          <w:bCs/>
          <w:color w:val="00008B"/>
          <w:sz w:val="28"/>
          <w:szCs w:val="28"/>
          <w:bdr w:val="none" w:sz="0" w:space="0" w:color="auto" w:frame="1"/>
          <w:shd w:val="clear" w:color="auto" w:fill="FFFFFF"/>
        </w:rPr>
        <w:t xml:space="preserve"> 4</w:t>
      </w:r>
      <w:r w:rsidRPr="001C65E2">
        <w:rPr>
          <w:rStyle w:val="sartttl"/>
          <w:rFonts w:ascii="Verdana" w:hAnsi="Verdana"/>
          <w:b/>
          <w:bCs/>
          <w:color w:val="00008B"/>
          <w:sz w:val="28"/>
          <w:szCs w:val="28"/>
          <w:bdr w:val="none" w:sz="0" w:space="0" w:color="auto" w:frame="1"/>
          <w:shd w:val="clear" w:color="auto" w:fill="FFFFFF"/>
        </w:rPr>
        <w:t xml:space="preserve"> din </w:t>
      </w:r>
      <w:hyperlink r:id="rId4" w:history="1">
        <w:proofErr w:type="spellStart"/>
        <w:r w:rsidRPr="001C65E2">
          <w:rPr>
            <w:rStyle w:val="Hyperlink"/>
            <w:rFonts w:ascii="Verdana" w:hAnsi="Verdana"/>
            <w:b/>
            <w:bCs/>
            <w:sz w:val="28"/>
            <w:szCs w:val="28"/>
            <w:bdr w:val="none" w:sz="0" w:space="0" w:color="auto" w:frame="1"/>
            <w:shd w:val="clear" w:color="auto" w:fill="FFFFFF"/>
          </w:rPr>
          <w:t>Legea</w:t>
        </w:r>
        <w:proofErr w:type="spellEnd"/>
        <w:r w:rsidRPr="001C65E2">
          <w:rPr>
            <w:rStyle w:val="Hyperlink"/>
            <w:rFonts w:ascii="Verdana" w:hAnsi="Verdana"/>
            <w:b/>
            <w:bCs/>
            <w:sz w:val="28"/>
            <w:szCs w:val="28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1C65E2">
          <w:rPr>
            <w:rStyle w:val="Hyperlink"/>
            <w:rFonts w:ascii="Verdana" w:hAnsi="Verdana"/>
            <w:b/>
            <w:bCs/>
            <w:sz w:val="28"/>
            <w:szCs w:val="28"/>
            <w:bdr w:val="none" w:sz="0" w:space="0" w:color="auto" w:frame="1"/>
            <w:shd w:val="clear" w:color="auto" w:fill="FFFFFF"/>
          </w:rPr>
          <w:t>nr</w:t>
        </w:r>
        <w:proofErr w:type="spellEnd"/>
        <w:r w:rsidRPr="001C65E2">
          <w:rPr>
            <w:rStyle w:val="Hyperlink"/>
            <w:rFonts w:ascii="Verdana" w:hAnsi="Verdana"/>
            <w:b/>
            <w:bCs/>
            <w:sz w:val="28"/>
            <w:szCs w:val="28"/>
            <w:bdr w:val="none" w:sz="0" w:space="0" w:color="auto" w:frame="1"/>
            <w:shd w:val="clear" w:color="auto" w:fill="FFFFFF"/>
          </w:rPr>
          <w:t>. 209/2019</w:t>
        </w:r>
      </w:hyperlink>
      <w:r>
        <w:rPr>
          <w:rStyle w:val="sartttl"/>
          <w:rFonts w:ascii="Verdana" w:hAnsi="Verdana"/>
          <w:b/>
          <w:bCs/>
          <w:color w:val="00008B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rStyle w:val="sartttl"/>
          <w:rFonts w:ascii="Verdana" w:hAnsi="Verdana"/>
          <w:b/>
          <w:bCs/>
          <w:color w:val="00008B"/>
          <w:sz w:val="28"/>
          <w:szCs w:val="28"/>
          <w:bdr w:val="none" w:sz="0" w:space="0" w:color="auto" w:frame="1"/>
          <w:shd w:val="clear" w:color="auto" w:fill="FFFFFF"/>
        </w:rPr>
        <w:t>lista</w:t>
      </w:r>
      <w:proofErr w:type="spellEnd"/>
      <w:r>
        <w:rPr>
          <w:rStyle w:val="sartttl"/>
          <w:rFonts w:ascii="Verdana" w:hAnsi="Verdana"/>
          <w:b/>
          <w:bCs/>
          <w:color w:val="00008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rtttl"/>
          <w:rFonts w:ascii="Verdana" w:hAnsi="Verdana"/>
          <w:b/>
          <w:bCs/>
          <w:color w:val="00008B"/>
          <w:sz w:val="28"/>
          <w:szCs w:val="28"/>
          <w:bdr w:val="none" w:sz="0" w:space="0" w:color="auto" w:frame="1"/>
          <w:shd w:val="clear" w:color="auto" w:fill="FFFFFF"/>
        </w:rPr>
        <w:t>operațiunilor</w:t>
      </w:r>
      <w:proofErr w:type="spellEnd"/>
      <w:r>
        <w:rPr>
          <w:rStyle w:val="sartttl"/>
          <w:rFonts w:ascii="Verdana" w:hAnsi="Verdana"/>
          <w:b/>
          <w:bCs/>
          <w:color w:val="00008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rtttl"/>
          <w:rFonts w:ascii="Verdana" w:hAnsi="Verdana"/>
          <w:b/>
          <w:bCs/>
          <w:color w:val="00008B"/>
          <w:sz w:val="28"/>
          <w:szCs w:val="28"/>
          <w:bdr w:val="none" w:sz="0" w:space="0" w:color="auto" w:frame="1"/>
          <w:shd w:val="clear" w:color="auto" w:fill="FFFFFF"/>
        </w:rPr>
        <w:t>neacoperite</w:t>
      </w:r>
      <w:proofErr w:type="spellEnd"/>
      <w:r>
        <w:rPr>
          <w:rStyle w:val="sartttl"/>
          <w:rFonts w:ascii="Verdana" w:hAnsi="Verdana"/>
          <w:b/>
          <w:bCs/>
          <w:color w:val="00008B"/>
          <w:sz w:val="28"/>
          <w:szCs w:val="28"/>
          <w:bdr w:val="none" w:sz="0" w:space="0" w:color="auto" w:frame="1"/>
          <w:shd w:val="clear" w:color="auto" w:fill="FFFFFF"/>
        </w:rPr>
        <w:t xml:space="preserve"> d</w:t>
      </w:r>
      <w:bookmarkStart w:id="0" w:name="_GoBack"/>
      <w:bookmarkEnd w:id="0"/>
      <w:r>
        <w:rPr>
          <w:rStyle w:val="sartttl"/>
          <w:rFonts w:ascii="Verdana" w:hAnsi="Verdana"/>
          <w:b/>
          <w:bCs/>
          <w:color w:val="00008B"/>
          <w:sz w:val="28"/>
          <w:szCs w:val="28"/>
          <w:bdr w:val="none" w:sz="0" w:space="0" w:color="auto" w:frame="1"/>
          <w:shd w:val="clear" w:color="auto" w:fill="FFFFFF"/>
        </w:rPr>
        <w:t xml:space="preserve">e </w:t>
      </w:r>
      <w:proofErr w:type="spellStart"/>
      <w:r>
        <w:rPr>
          <w:rStyle w:val="sartttl"/>
          <w:rFonts w:ascii="Verdana" w:hAnsi="Verdana"/>
          <w:b/>
          <w:bCs/>
          <w:color w:val="00008B"/>
          <w:sz w:val="28"/>
          <w:szCs w:val="28"/>
          <w:bdr w:val="none" w:sz="0" w:space="0" w:color="auto" w:frame="1"/>
          <w:shd w:val="clear" w:color="auto" w:fill="FFFFFF"/>
        </w:rPr>
        <w:t>lege</w:t>
      </w:r>
      <w:proofErr w:type="spellEnd"/>
      <w:r>
        <w:rPr>
          <w:rStyle w:val="sartttl"/>
          <w:rFonts w:ascii="Verdana" w:hAnsi="Verdana"/>
          <w:b/>
          <w:bCs/>
          <w:color w:val="00008B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1C65E2">
        <w:rPr>
          <w:rStyle w:val="sartttl"/>
          <w:rFonts w:ascii="Verdana" w:hAnsi="Verdana"/>
          <w:b/>
          <w:bCs/>
          <w:color w:val="00008B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1C65E2" w:rsidRDefault="001C65E2">
      <w:pPr>
        <w:rPr>
          <w:rStyle w:val="salnttl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1C65E2" w:rsidRDefault="001C65E2">
      <w:pP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gramStart"/>
      <w:r w:rsidRPr="001C65E2">
        <w:rPr>
          <w:rStyle w:val="salnttl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„</w:t>
      </w:r>
      <w:r w:rsidRPr="001C65E2">
        <w:rPr>
          <w:rStyle w:val="salnttl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(</w:t>
      </w:r>
      <w:proofErr w:type="gramEnd"/>
      <w:r w:rsidRPr="001C65E2">
        <w:rPr>
          <w:rStyle w:val="salnttl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1)</w:t>
      </w:r>
      <w:r w:rsidRPr="001C65E2">
        <w:rPr>
          <w:rStyle w:val="saln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Nu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intră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domeniul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aplicare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prezentei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legi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a)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operațiunile</w:t>
      </w:r>
      <w:proofErr w:type="spellEnd"/>
      <w:proofErr w:type="gram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efectuate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exclusiv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numerar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direct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plătitor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către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beneficiarul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plății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fără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intervenția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unui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intermediar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b)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operațiunile</w:t>
      </w:r>
      <w:proofErr w:type="spellEnd"/>
      <w:proofErr w:type="gram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efectuate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plătitor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către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beneficiarul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plății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printr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-un agent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comercial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împuternicit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negocieze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efectueze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vânzări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cumpărări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bunuri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doar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seama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plătitorului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doar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seama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beneficiarului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plății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c)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transportul</w:t>
      </w:r>
      <w:proofErr w:type="spellEnd"/>
      <w:proofErr w:type="gram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fizic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bancnote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monede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incluzând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colectarea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procesarea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distribuirea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acestora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realizat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titlu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profesional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d)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operațiunile</w:t>
      </w:r>
      <w:proofErr w:type="spellEnd"/>
      <w:proofErr w:type="gram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constau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colectarea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predarea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numerar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fără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caracter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profesional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cadrul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unei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activități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caritabile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nonprofit;</w:t>
      </w:r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e)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este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furnizat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numerar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plătitorului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către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beneficiarul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plății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legat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o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operațiune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la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cererea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expresă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utilizatorului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imediat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înaintea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executării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operațiunii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vederea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achiziționării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bunuri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f)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operațiunile</w:t>
      </w:r>
      <w:proofErr w:type="spellEnd"/>
      <w:proofErr w:type="gram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schimb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valutar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de tip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numerar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contra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numerar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situația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fondurile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nu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sunt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păstrate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într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-un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plăți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g)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operațiunile</w:t>
      </w:r>
      <w:proofErr w:type="spellEnd"/>
      <w:proofErr w:type="gram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bazate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documentele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prevăzute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 </w:t>
      </w:r>
      <w:proofErr w:type="spellStart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alin</w:t>
      </w:r>
      <w:proofErr w:type="spell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. (2)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baza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cărora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prestatorul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plasează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fonduri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dispoziția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beneficiarului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plății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gramStart"/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h)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operațiunile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din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cadrul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unui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sistem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plăți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sistem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decontare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operațiunilor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instrumente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financiare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efectuate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între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agenți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decontare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contrapărți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centrale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case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compensare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bănci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centrale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alți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participanți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sistem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o parte,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prestatori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altă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parte,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fără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aduce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atingere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hyperlink r:id="rId5" w:history="1">
        <w:r>
          <w:rPr>
            <w:rStyle w:val="Hyperlink"/>
            <w:rFonts w:ascii="Verdana" w:hAnsi="Verdana"/>
            <w:color w:val="386897"/>
            <w:sz w:val="23"/>
            <w:szCs w:val="23"/>
            <w:bdr w:val="none" w:sz="0" w:space="0" w:color="auto" w:frame="1"/>
            <w:shd w:val="clear" w:color="auto" w:fill="FFFFFF"/>
          </w:rPr>
          <w:t>art.</w:t>
        </w:r>
        <w:proofErr w:type="gramEnd"/>
        <w:r>
          <w:rPr>
            <w:rStyle w:val="Hyperlink"/>
            <w:rFonts w:ascii="Verdana" w:hAnsi="Verdana"/>
            <w:color w:val="386897"/>
            <w:sz w:val="23"/>
            <w:szCs w:val="23"/>
            <w:bdr w:val="none" w:sz="0" w:space="0" w:color="auto" w:frame="1"/>
            <w:shd w:val="clear" w:color="auto" w:fill="FFFFFF"/>
          </w:rPr>
          <w:t xml:space="preserve"> 404^</w:t>
        </w:r>
        <w:proofErr w:type="gramStart"/>
        <w:r>
          <w:rPr>
            <w:rStyle w:val="Hyperlink"/>
            <w:rFonts w:ascii="Verdana" w:hAnsi="Verdana"/>
            <w:color w:val="386897"/>
            <w:sz w:val="23"/>
            <w:szCs w:val="23"/>
            <w:bdr w:val="none" w:sz="0" w:space="0" w:color="auto" w:frame="1"/>
            <w:shd w:val="clear" w:color="auto" w:fill="FFFFFF"/>
          </w:rPr>
          <w:t>1</w:t>
        </w:r>
        <w:proofErr w:type="gramEnd"/>
        <w:r>
          <w:rPr>
            <w:rStyle w:val="Hyperlink"/>
            <w:rFonts w:ascii="Verdana" w:hAnsi="Verdana"/>
            <w:color w:val="386897"/>
            <w:sz w:val="23"/>
            <w:szCs w:val="23"/>
            <w:bdr w:val="none" w:sz="0" w:space="0" w:color="auto" w:frame="1"/>
            <w:shd w:val="clear" w:color="auto" w:fill="FFFFFF"/>
          </w:rPr>
          <w:t xml:space="preserve"> din </w:t>
        </w:r>
        <w:proofErr w:type="spellStart"/>
        <w:r>
          <w:rPr>
            <w:rStyle w:val="Hyperlink"/>
            <w:rFonts w:ascii="Verdana" w:hAnsi="Verdana"/>
            <w:color w:val="386897"/>
            <w:sz w:val="23"/>
            <w:szCs w:val="23"/>
            <w:bdr w:val="none" w:sz="0" w:space="0" w:color="auto" w:frame="1"/>
            <w:shd w:val="clear" w:color="auto" w:fill="FFFFFF"/>
          </w:rPr>
          <w:t>Ordonanța</w:t>
        </w:r>
        <w:proofErr w:type="spellEnd"/>
        <w:r>
          <w:rPr>
            <w:rStyle w:val="Hyperlink"/>
            <w:rFonts w:ascii="Verdana" w:hAnsi="Verdana"/>
            <w:color w:val="386897"/>
            <w:sz w:val="23"/>
            <w:szCs w:val="23"/>
            <w:bdr w:val="none" w:sz="0" w:space="0" w:color="auto" w:frame="1"/>
            <w:shd w:val="clear" w:color="auto" w:fill="FFFFFF"/>
          </w:rPr>
          <w:t xml:space="preserve"> de </w:t>
        </w:r>
        <w:proofErr w:type="spellStart"/>
        <w:r>
          <w:rPr>
            <w:rStyle w:val="Hyperlink"/>
            <w:rFonts w:ascii="Verdana" w:hAnsi="Verdana"/>
            <w:color w:val="386897"/>
            <w:sz w:val="23"/>
            <w:szCs w:val="23"/>
            <w:bdr w:val="none" w:sz="0" w:space="0" w:color="auto" w:frame="1"/>
            <w:shd w:val="clear" w:color="auto" w:fill="FFFFFF"/>
          </w:rPr>
          <w:t>urgență</w:t>
        </w:r>
        <w:proofErr w:type="spellEnd"/>
        <w:r>
          <w:rPr>
            <w:rStyle w:val="Hyperlink"/>
            <w:rFonts w:ascii="Verdana" w:hAnsi="Verdana"/>
            <w:color w:val="386897"/>
            <w:sz w:val="23"/>
            <w:szCs w:val="23"/>
            <w:bdr w:val="none" w:sz="0" w:space="0" w:color="auto" w:frame="1"/>
            <w:shd w:val="clear" w:color="auto" w:fill="FFFFFF"/>
          </w:rPr>
          <w:t xml:space="preserve"> a </w:t>
        </w:r>
        <w:proofErr w:type="spellStart"/>
        <w:r>
          <w:rPr>
            <w:rStyle w:val="Hyperlink"/>
            <w:rFonts w:ascii="Verdana" w:hAnsi="Verdana"/>
            <w:color w:val="386897"/>
            <w:sz w:val="23"/>
            <w:szCs w:val="23"/>
            <w:bdr w:val="none" w:sz="0" w:space="0" w:color="auto" w:frame="1"/>
            <w:shd w:val="clear" w:color="auto" w:fill="FFFFFF"/>
          </w:rPr>
          <w:t>Guvernului</w:t>
        </w:r>
        <w:proofErr w:type="spellEnd"/>
        <w:r>
          <w:rPr>
            <w:rStyle w:val="Hyperlink"/>
            <w:rFonts w:ascii="Verdana" w:hAnsi="Verdana"/>
            <w:color w:val="386897"/>
            <w:sz w:val="23"/>
            <w:szCs w:val="23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erdana" w:hAnsi="Verdana"/>
            <w:color w:val="386897"/>
            <w:sz w:val="23"/>
            <w:szCs w:val="23"/>
            <w:bdr w:val="none" w:sz="0" w:space="0" w:color="auto" w:frame="1"/>
            <w:shd w:val="clear" w:color="auto" w:fill="FFFFFF"/>
          </w:rPr>
          <w:t>nr</w:t>
        </w:r>
        <w:proofErr w:type="spellEnd"/>
        <w:r>
          <w:rPr>
            <w:rStyle w:val="Hyperlink"/>
            <w:rFonts w:ascii="Verdana" w:hAnsi="Verdana"/>
            <w:color w:val="386897"/>
            <w:sz w:val="23"/>
            <w:szCs w:val="23"/>
            <w:bdr w:val="none" w:sz="0" w:space="0" w:color="auto" w:frame="1"/>
            <w:shd w:val="clear" w:color="auto" w:fill="FFFFFF"/>
          </w:rPr>
          <w:t xml:space="preserve">. </w:t>
        </w:r>
        <w:proofErr w:type="gramStart"/>
        <w:r>
          <w:rPr>
            <w:rStyle w:val="Hyperlink"/>
            <w:rFonts w:ascii="Verdana" w:hAnsi="Verdana"/>
            <w:color w:val="386897"/>
            <w:sz w:val="23"/>
            <w:szCs w:val="23"/>
            <w:bdr w:val="none" w:sz="0" w:space="0" w:color="auto" w:frame="1"/>
            <w:shd w:val="clear" w:color="auto" w:fill="FFFFFF"/>
          </w:rPr>
          <w:t>99/2006</w:t>
        </w:r>
        <w:proofErr w:type="gramEnd"/>
      </w:hyperlink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aprobată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modificări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completări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begin"/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instrText xml:space="preserve"> HYPERLINK "http://legislatie.just.ro/Public/DetaliiDocumentAfis/83674" </w:instrTex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separate"/>
      </w:r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Legea</w:t>
      </w:r>
      <w:proofErr w:type="spellEnd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nr</w:t>
      </w:r>
      <w:proofErr w:type="spellEnd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. 227/2007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end"/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cu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modificările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completările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ulterioare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i</w:t>
      </w:r>
      <w:proofErr w:type="spellEnd"/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operațiunile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legate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administrarea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activelor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tipul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instrumentelor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financiare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inclusiv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distribuirea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dividendelor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veniturilor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altor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sume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similare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răscumpărarea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vânzarea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respectivelor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instrumente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efectuate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persoanele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prevăzute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 </w:t>
      </w:r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lit. h)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instituții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credit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societăți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investiții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financiare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organisme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plasament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colectiv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societăți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administrare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</w:t>
      </w:r>
      <w:proofErr w:type="gram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investițiilor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precum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entități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natura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acestora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autorizate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 xml:space="preserve">state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membre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state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terțe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presteze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investiții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financiare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înțelesul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begin"/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instrText xml:space="preserve"> HYPERLINK "http://legislatie.just.ro/Public/DetaliiDocumentAfis/201659" </w:instrTex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separate"/>
      </w:r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Legii</w:t>
      </w:r>
      <w:proofErr w:type="spellEnd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nr</w:t>
      </w:r>
      <w:proofErr w:type="spellEnd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. 297/2004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end"/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privind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piața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capital, cu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modificările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completările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ulterioare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orice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alte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entități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cărora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le </w:t>
      </w:r>
      <w:proofErr w:type="spellStart"/>
      <w:proofErr w:type="gram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este</w:t>
      </w:r>
      <w:proofErr w:type="spellEnd"/>
      <w:proofErr w:type="gram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permis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aibă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custodie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instrumente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financiare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gramStart"/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j)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oferite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furnizorii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infrastructură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care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asigură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suportul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tehnic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prestarea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fără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aceștia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intre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vreun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moment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posesia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fondurilor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urmează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fi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transferate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incluzând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procesarea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stocarea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informațiilor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custodie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protecție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datelor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autentificarea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datelor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entităților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furnizarea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rețele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comunicații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tehnologia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informației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(IT),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furnizarea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întreținerea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terminalelor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dispozitivelor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folosite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excluzând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inițiere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plății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informare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privire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conturi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proofErr w:type="gramEnd"/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gramStart"/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k)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inițiate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instrumente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specifice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pot fi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folosite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achiziționa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o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gamă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foarte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limitată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bunuri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achiziționa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bunuri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doar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locațiile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folosite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emitent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cadrul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unei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rețele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limitate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furnizori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bunuri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au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încheiat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un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acord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comercial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direct cu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emitentul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proofErr w:type="gramEnd"/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gramStart"/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l)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inițiate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instrumente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îndeplinesc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cumulativ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următoarele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criterii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sunt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valabile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doar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România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sunt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furnizate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solicitarea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unei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entități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din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sectorul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public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privat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sunt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reglementate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o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autoritate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publică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națională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regională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scop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social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fiscal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pot fi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folosite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achiziționarea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anumitor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bunuri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la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furnizori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au un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acord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comercial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emitentul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proofErr w:type="gramEnd"/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m)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operațiunile</w:t>
      </w:r>
      <w:proofErr w:type="spellEnd"/>
      <w:proofErr w:type="gram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îndeplinesc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cumulativ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condițiile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prevăzute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 </w:t>
      </w:r>
      <w:proofErr w:type="spellStart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alin</w:t>
      </w:r>
      <w:proofErr w:type="spell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. </w:t>
      </w:r>
      <w:proofErr w:type="gramStart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(3)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realizate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abonații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proprii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un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furnizor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rețele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comunicații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electronice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suplimentar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comunicații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electronice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facturate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factura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aferentă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comunicații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electronice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scopul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achiziționării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conținut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digital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voce,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indiferent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dispozitivul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utilizat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achiziționarea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consumarea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acestora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scopul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achiziționării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bilete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călătorie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permise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acces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cadrul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unor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activități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caritate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dacă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fost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utilizat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un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dispozitiv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electronic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efectuarea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operațiunilor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proofErr w:type="gramEnd"/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n)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operațiunile</w:t>
      </w:r>
      <w:proofErr w:type="spellEnd"/>
      <w:proofErr w:type="gram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efectuate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între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prestatori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agenții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sucursalele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acestora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propriu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o)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operațiunile</w:t>
      </w:r>
      <w:proofErr w:type="spellEnd"/>
      <w:proofErr w:type="gram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conexe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efectuate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între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o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întreprindere-mamă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filialele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sale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între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filialele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aceleiași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întreprinderi-mamă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fără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intervenția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calitate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intermediar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unui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prestator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altul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decât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o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societate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aparține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aceluiași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grup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gramStart"/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lastRenderedPageBreak/>
        <w:t>p)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retragere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numerar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intermediul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unui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distribuitor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automat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numerar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- ATM,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oferite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furnizorii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acționează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seama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unuia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mai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multor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emitenți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carduri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nu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sunt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parte la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contractul-cadru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clientul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baza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căruia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se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retrag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banii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dintr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-un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plăți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cu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condiția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acești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furnizori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nu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presteze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alte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dintre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enumerate la </w:t>
      </w:r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art.</w:t>
      </w:r>
      <w:proofErr w:type="gram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7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1C65E2" w:rsidRDefault="001C65E2">
      <w:pPr>
        <w:rPr>
          <w:rStyle w:val="salnttl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1C65E2" w:rsidRDefault="001C65E2">
      <w:pP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1C65E2">
        <w:rPr>
          <w:rStyle w:val="salnttl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(2)</w:t>
      </w:r>
      <w:r>
        <w:rPr>
          <w:rStyle w:val="saln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Documentele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care se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referă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alin</w:t>
      </w:r>
      <w:proofErr w:type="spell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. (1) </w:t>
      </w:r>
      <w:proofErr w:type="gramStart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lit</w:t>
      </w:r>
      <w:proofErr w:type="gram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. g)</w:t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proofErr w:type="gram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sunt</w:t>
      </w:r>
      <w:proofErr w:type="spellEnd"/>
      <w:proofErr w:type="gram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următoarele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a)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cecuri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suport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hârtie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definite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conformitate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Convenția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la Geneva din 19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martie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1931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stabilire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unei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legi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uniforme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privind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cecurile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b)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cecuri</w:t>
      </w:r>
      <w:proofErr w:type="spellEnd"/>
      <w:proofErr w:type="gram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suport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hârtie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similare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prevăzute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 </w:t>
      </w:r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lit. a)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reglementate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legislația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statelor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membre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nu au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ratificat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Convenția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la Geneva din 19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martie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1931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stabilire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unei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legi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uniforme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privind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cecurile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inclusiv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cecurile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reglementate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begin"/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instrText xml:space="preserve"> HYPERLINK "http://legislatie.just.ro/Public/DetaliiDocumentAfis/142866" </w:instrTex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separate"/>
      </w:r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Legea</w:t>
      </w:r>
      <w:proofErr w:type="spellEnd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nr</w:t>
      </w:r>
      <w:proofErr w:type="spellEnd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. 59/1934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end"/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asupra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cecului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cu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modificările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completările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ulterioare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c)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titluri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credit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suport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hârtie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definite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conformitate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Convenția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la Geneva din 7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iunie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1930 care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stabilește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o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legislație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uniformă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privind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cambiile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biletele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ordin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d)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titluri</w:t>
      </w:r>
      <w:proofErr w:type="spellEnd"/>
      <w:proofErr w:type="gram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credit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suport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hârtie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similare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prevăzute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 </w:t>
      </w:r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lit. c)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reglementate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legislația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statelor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membre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nu au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ratificat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Convenția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la Geneva din 7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iunie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1930 care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stabilește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o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legislație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uniformă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privind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cambiile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biletele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ordin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inclusiv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cambiile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biletele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ordin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reglementate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begin"/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instrText xml:space="preserve"> HYPERLINK "http://legislatie.just.ro/Public/DetaliiDocumentAfis/140422" </w:instrTex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separate"/>
      </w:r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Legea</w:t>
      </w:r>
      <w:proofErr w:type="spellEnd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nr</w:t>
      </w:r>
      <w:proofErr w:type="spellEnd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. 58/1934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end"/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asupra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cambiei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biletului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ordin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cu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modificările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completările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ulterioare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e)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vouchere</w:t>
      </w:r>
      <w:proofErr w:type="spellEnd"/>
      <w:proofErr w:type="gram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suport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hârtie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f)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cecuri</w:t>
      </w:r>
      <w:proofErr w:type="spellEnd"/>
      <w:proofErr w:type="gram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călătorie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suport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hârtie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g)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gram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mandate</w:t>
      </w:r>
      <w:proofErr w:type="gram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poștale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suport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hârtie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conformitate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definiția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Uniunii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Poștale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Universale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1C65E2" w:rsidRDefault="001C65E2">
      <w:pP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1C65E2">
        <w:rPr>
          <w:rStyle w:val="salnttl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(3)</w:t>
      </w:r>
      <w:r w:rsidRPr="001C65E2">
        <w:rPr>
          <w:rStyle w:val="saln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Condițiile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care se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referă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alin</w:t>
      </w:r>
      <w:proofErr w:type="spell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. (1) </w:t>
      </w:r>
      <w:proofErr w:type="gramStart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lit</w:t>
      </w:r>
      <w:proofErr w:type="gram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. m)</w:t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proofErr w:type="gram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sunt</w:t>
      </w:r>
      <w:proofErr w:type="spellEnd"/>
      <w:proofErr w:type="gram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a)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valoarea</w:t>
      </w:r>
      <w:proofErr w:type="spellEnd"/>
      <w:proofErr w:type="gram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fiecărei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operațiuni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singulare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nu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depășește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50 de euro;</w:t>
      </w:r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gramStart"/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b)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valoarea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cumulată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operațiunilor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un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abonat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individual nu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depășește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300 de euro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lună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cazul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un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abonat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alimentat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avans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contul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deținut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furnizorul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rețele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comunicații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electronice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valoarea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cumulată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operațiunilor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nu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depășește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300 de euro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lună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  <w:proofErr w:type="gramEnd"/>
    </w:p>
    <w:p w:rsidR="001C65E2" w:rsidRDefault="001C65E2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1C65E2" w:rsidRDefault="001C65E2">
      <w:pP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1C65E2">
        <w:rPr>
          <w:rStyle w:val="salnttl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(4)</w:t>
      </w:r>
      <w:r>
        <w:rPr>
          <w:rStyle w:val="saln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aplicarea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alin</w:t>
      </w:r>
      <w:proofErr w:type="spell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. (1) </w:t>
      </w:r>
      <w:proofErr w:type="gramStart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lit</w:t>
      </w:r>
      <w:proofErr w:type="gram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. p)</w:t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clientului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se pun la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dispoziție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informații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privind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toate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comisioanele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retragere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prevăzute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 </w:t>
      </w:r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art. 119</w:t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121, 122, 138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înainte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efectuarea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retragerii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precum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primirea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numerarului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sfârșitul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operațiunii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după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retragere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1C65E2" w:rsidRDefault="001C65E2">
      <w:pP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3C380E" w:rsidRDefault="001C65E2">
      <w:r w:rsidRPr="001C65E2">
        <w:rPr>
          <w:rStyle w:val="salnttl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(5)</w:t>
      </w:r>
      <w:r>
        <w:rPr>
          <w:rStyle w:val="saln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Prezenta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lege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nu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aduce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atingere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prevederilor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begin"/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instrText xml:space="preserve"> HYPERLINK "http://legislatie.just.ro/Public/DetaliiDocumentAfis/212089" </w:instrText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separate"/>
      </w:r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Ordonanței</w:t>
      </w:r>
      <w:proofErr w:type="spellEnd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urgență</w:t>
      </w:r>
      <w:proofErr w:type="spellEnd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Guvernului</w:t>
      </w:r>
      <w:proofErr w:type="spellEnd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nr</w:t>
      </w:r>
      <w:proofErr w:type="spellEnd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 xml:space="preserve">. </w:t>
      </w:r>
      <w:proofErr w:type="gramStart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50/2010</w:t>
      </w:r>
      <w:proofErr w:type="gram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end"/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privind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contractele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credit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consumatori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aprobată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modificări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completări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prin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begin"/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instrText xml:space="preserve"> HYPERLINK "http://legislatie.just.ro/Public/DetaliiDocumentAfis/124860" </w:instrText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separate"/>
      </w:r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Legea</w:t>
      </w:r>
      <w:proofErr w:type="spellEnd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nr</w:t>
      </w:r>
      <w:proofErr w:type="spellEnd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 xml:space="preserve">. </w:t>
      </w:r>
      <w:proofErr w:type="gramStart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288/2010</w:t>
      </w:r>
      <w:proofErr w:type="gram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end"/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cu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modificările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completările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ulterioare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prevederilor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begin"/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instrText xml:space="preserve"> HYPERLINK "http://legislatie.just.ro/Public/DetaliiDocumentAfis/212090" </w:instrText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separate"/>
      </w:r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Ordonanței</w:t>
      </w:r>
      <w:proofErr w:type="spellEnd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urgență</w:t>
      </w:r>
      <w:proofErr w:type="spellEnd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Guvernului</w:t>
      </w:r>
      <w:proofErr w:type="spellEnd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nr</w:t>
      </w:r>
      <w:proofErr w:type="spellEnd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 xml:space="preserve">. </w:t>
      </w:r>
      <w:proofErr w:type="gramStart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52/2016</w:t>
      </w:r>
      <w:proofErr w:type="gram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end"/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privind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contractele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credit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oferite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consumatorilor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bunuri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imobile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precum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modificarea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completarea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begin"/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instrText xml:space="preserve"> HYPERLINK "http://legislatie.just.ro/Public/DetaliiDocumentAfis/212089" </w:instrText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separate"/>
      </w:r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Ordonanței</w:t>
      </w:r>
      <w:proofErr w:type="spellEnd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urgență</w:t>
      </w:r>
      <w:proofErr w:type="spellEnd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Guvernului</w:t>
      </w:r>
      <w:proofErr w:type="spellEnd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nr</w:t>
      </w:r>
      <w:proofErr w:type="spellEnd"/>
      <w:r>
        <w:rPr>
          <w:rStyle w:val="Hyperlink"/>
          <w:rFonts w:ascii="Verdana" w:hAnsi="Verdana"/>
          <w:color w:val="386897"/>
          <w:sz w:val="23"/>
          <w:szCs w:val="23"/>
          <w:bdr w:val="none" w:sz="0" w:space="0" w:color="auto" w:frame="1"/>
          <w:shd w:val="clear" w:color="auto" w:fill="FFFFFF"/>
        </w:rPr>
        <w:t>. 50/2010</w:t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end"/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privind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contractele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credit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consumatori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cu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modificările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ulterioare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”</w:t>
      </w:r>
    </w:p>
    <w:sectPr w:rsidR="003C3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8E"/>
    <w:rsid w:val="001C65E2"/>
    <w:rsid w:val="003C380E"/>
    <w:rsid w:val="0047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0742"/>
  <w15:chartTrackingRefBased/>
  <w15:docId w15:val="{8CFF04FE-1798-412A-9BD6-B1B8E3C3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rtttl">
    <w:name w:val="s_art_ttl"/>
    <w:basedOn w:val="DefaultParagraphFont"/>
    <w:rsid w:val="001C65E2"/>
  </w:style>
  <w:style w:type="character" w:customStyle="1" w:styleId="saln">
    <w:name w:val="s_aln"/>
    <w:basedOn w:val="DefaultParagraphFont"/>
    <w:rsid w:val="001C65E2"/>
  </w:style>
  <w:style w:type="character" w:customStyle="1" w:styleId="salnttl">
    <w:name w:val="s_aln_ttl"/>
    <w:basedOn w:val="DefaultParagraphFont"/>
    <w:rsid w:val="001C65E2"/>
  </w:style>
  <w:style w:type="character" w:customStyle="1" w:styleId="salnbdy">
    <w:name w:val="s_aln_bdy"/>
    <w:basedOn w:val="DefaultParagraphFont"/>
    <w:rsid w:val="001C65E2"/>
  </w:style>
  <w:style w:type="character" w:customStyle="1" w:styleId="slit">
    <w:name w:val="s_lit"/>
    <w:basedOn w:val="DefaultParagraphFont"/>
    <w:rsid w:val="001C65E2"/>
  </w:style>
  <w:style w:type="character" w:customStyle="1" w:styleId="slitttl">
    <w:name w:val="s_lit_ttl"/>
    <w:basedOn w:val="DefaultParagraphFont"/>
    <w:rsid w:val="001C65E2"/>
  </w:style>
  <w:style w:type="character" w:customStyle="1" w:styleId="slitbdy">
    <w:name w:val="s_lit_bdy"/>
    <w:basedOn w:val="DefaultParagraphFont"/>
    <w:rsid w:val="001C65E2"/>
  </w:style>
  <w:style w:type="character" w:customStyle="1" w:styleId="slgi">
    <w:name w:val="s_lgi"/>
    <w:basedOn w:val="DefaultParagraphFont"/>
    <w:rsid w:val="001C65E2"/>
  </w:style>
  <w:style w:type="character" w:styleId="Hyperlink">
    <w:name w:val="Hyperlink"/>
    <w:basedOn w:val="DefaultParagraphFont"/>
    <w:uiPriority w:val="99"/>
    <w:unhideWhenUsed/>
    <w:rsid w:val="001C6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islatie.just.ro/Public/DetaliiDocumentAfis/202477" TargetMode="External"/><Relationship Id="rId4" Type="http://schemas.openxmlformats.org/officeDocument/2006/relationships/hyperlink" Target="http://legislatie.just.ro/Public/DetaliiDocument/219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1330</Words>
  <Characters>7586</Characters>
  <Application>Microsoft Office Word</Application>
  <DocSecurity>0</DocSecurity>
  <Lines>63</Lines>
  <Paragraphs>17</Paragraphs>
  <ScaleCrop>false</ScaleCrop>
  <Company>Hewlett-Packard Company</Company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AlexB</dc:creator>
  <cp:keywords/>
  <dc:description/>
  <cp:lastModifiedBy>AlexB</cp:lastModifiedBy>
  <cp:revision>2</cp:revision>
  <dcterms:created xsi:type="dcterms:W3CDTF">2019-11-15T10:54:00Z</dcterms:created>
  <dcterms:modified xsi:type="dcterms:W3CDTF">2019-11-15T10:57:00Z</dcterms:modified>
</cp:coreProperties>
</file>