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C1756" w14:textId="0D9BF1AE" w:rsidR="00DC2B5E" w:rsidRPr="00CD03D4" w:rsidRDefault="00DC2B5E" w:rsidP="00216C87">
      <w:pPr>
        <w:pStyle w:val="NormalWeb"/>
        <w:jc w:val="center"/>
        <w:rPr>
          <w:b/>
          <w:bCs/>
        </w:rPr>
      </w:pPr>
      <w:r w:rsidRPr="00CD03D4">
        <w:rPr>
          <w:b/>
          <w:bCs/>
        </w:rPr>
        <w:t>Scrisoare deschisă către Prim-ministrul Românie</w:t>
      </w:r>
      <w:r w:rsidR="00AB3F12" w:rsidRPr="00CD03D4">
        <w:rPr>
          <w:b/>
          <w:bCs/>
        </w:rPr>
        <w:t>i</w:t>
      </w:r>
    </w:p>
    <w:p w14:paraId="52B7B08E" w14:textId="76C507A4" w:rsidR="006E7152" w:rsidRPr="00CD03D4" w:rsidRDefault="00DC2B5E" w:rsidP="006E7152">
      <w:pPr>
        <w:rPr>
          <w:rStyle w:val="Strong"/>
        </w:rPr>
      </w:pPr>
      <w:r w:rsidRPr="00CD03D4">
        <w:t xml:space="preserve">din partea </w:t>
      </w:r>
      <w:r w:rsidRPr="00CD03D4">
        <w:rPr>
          <w:rStyle w:val="Strong"/>
          <w:b w:val="0"/>
          <w:bCs w:val="0"/>
        </w:rPr>
        <w:t>Consiliului Director al Asociației Producătorilor și Importatorilor de Automobile (APIA)</w:t>
      </w:r>
    </w:p>
    <w:p w14:paraId="6228E61C" w14:textId="77777777" w:rsidR="00DC2B5E" w:rsidRPr="00CD03D4" w:rsidRDefault="00DC2B5E" w:rsidP="006E7152"/>
    <w:p w14:paraId="7CC90C7C" w14:textId="77777777" w:rsidR="00D30912" w:rsidRPr="00CD03D4" w:rsidRDefault="00D30912" w:rsidP="006E7152"/>
    <w:p w14:paraId="36C3DF8D" w14:textId="77777777" w:rsidR="00D30912" w:rsidRPr="00CD03D4" w:rsidRDefault="00D30912" w:rsidP="006E7152"/>
    <w:p w14:paraId="05F3484D" w14:textId="580DA9D7" w:rsidR="006E7152" w:rsidRPr="00CD03D4" w:rsidRDefault="006E7152" w:rsidP="006471C6">
      <w:pPr>
        <w:jc w:val="both"/>
      </w:pPr>
      <w:r w:rsidRPr="00CD03D4">
        <w:t xml:space="preserve">Stimate Domnule </w:t>
      </w:r>
      <w:r w:rsidR="00DC2B5E" w:rsidRPr="00CD03D4">
        <w:t>Prim-ministru,</w:t>
      </w:r>
    </w:p>
    <w:p w14:paraId="3EE92EFC" w14:textId="35C8694E" w:rsidR="00DE693A" w:rsidRPr="00CD03D4" w:rsidRDefault="00DE693A" w:rsidP="00EB7583">
      <w:pPr>
        <w:pStyle w:val="NormalWeb"/>
        <w:jc w:val="both"/>
      </w:pPr>
      <w:r w:rsidRPr="00CD03D4">
        <w:t>Asociația Producătorilor și Importatorilor de Automobile (APIA), organizația reprezentativă a industriei auto din România, face un apel public către Prim-ministrul României. Considerăm că proiectul de impozitare auto, introdus prin asumarea răspunderii Guvernului, fără consultare publică și fără dialog real cu industria sau societatea civilă, reprezintă o abordare netransparentă și riscantă, care ridică serioase semne de întrebare privind corectitudinea și impactul acestui act legislativ</w:t>
      </w:r>
      <w:r w:rsidR="00C11F05">
        <w:t>.</w:t>
      </w:r>
    </w:p>
    <w:p w14:paraId="3E587805" w14:textId="4293E5F1" w:rsidR="00EB7583" w:rsidRPr="00CD03D4" w:rsidRDefault="00EB7583" w:rsidP="00EB7583">
      <w:pPr>
        <w:pStyle w:val="NormalWeb"/>
        <w:jc w:val="both"/>
      </w:pPr>
      <w:r w:rsidRPr="00CD03D4">
        <w:t>În plus, metoda de impozitare stabilită prin această lege prezintă probleme de fond esențiale, pe care APIA le semnalează cu fermitate:</w:t>
      </w:r>
    </w:p>
    <w:p w14:paraId="3C7992A1" w14:textId="3F035F44" w:rsidR="00EB7583" w:rsidRPr="00CD03D4" w:rsidRDefault="00EB7583" w:rsidP="00EB7583">
      <w:pPr>
        <w:pStyle w:val="NormalWeb"/>
        <w:numPr>
          <w:ilvl w:val="0"/>
          <w:numId w:val="19"/>
        </w:numPr>
        <w:jc w:val="both"/>
      </w:pPr>
      <w:r w:rsidRPr="001E6BFD">
        <w:rPr>
          <w:b/>
          <w:bCs/>
        </w:rPr>
        <w:t>Criterii incomplete și învechite</w:t>
      </w:r>
      <w:r w:rsidRPr="00CD03D4">
        <w:t xml:space="preserve"> – impozitul se calculează exclusiv pe baza cilindreei și a încadrării într-o normă Euro, ignorând complet factorul relevant al emisiilor de CO₂.</w:t>
      </w:r>
    </w:p>
    <w:p w14:paraId="20BC26DA" w14:textId="48223EAA" w:rsidR="00EB7583" w:rsidRPr="00CD03D4" w:rsidRDefault="00EB7583" w:rsidP="00EB7583">
      <w:pPr>
        <w:pStyle w:val="NormalWeb"/>
        <w:numPr>
          <w:ilvl w:val="0"/>
          <w:numId w:val="19"/>
        </w:numPr>
        <w:jc w:val="both"/>
      </w:pPr>
      <w:r w:rsidRPr="0043442F">
        <w:rPr>
          <w:b/>
          <w:bCs/>
        </w:rPr>
        <w:t>Diferențe insuficiente între vehicule vechi și noi</w:t>
      </w:r>
      <w:r w:rsidRPr="00CD03D4">
        <w:t xml:space="preserve"> – </w:t>
      </w:r>
      <w:r w:rsidR="0043442F">
        <w:t>g</w:t>
      </w:r>
      <w:r w:rsidR="002A2495" w:rsidRPr="00CD03D4">
        <w:t>rila nu descurajează menținerea sau importul de mașini vechi și poluante, ba chiar le favorizează, întrucât un vehicul Euro 6 nou este impozitat identic cu unul de zece ani.</w:t>
      </w:r>
    </w:p>
    <w:p w14:paraId="48E565B0" w14:textId="3AE90775" w:rsidR="00BF265D" w:rsidRPr="00CD03D4" w:rsidRDefault="00BF265D" w:rsidP="00EB7583">
      <w:pPr>
        <w:pStyle w:val="NormalWeb"/>
        <w:numPr>
          <w:ilvl w:val="0"/>
          <w:numId w:val="19"/>
        </w:numPr>
        <w:jc w:val="both"/>
      </w:pPr>
      <w:r w:rsidRPr="00D304C6">
        <w:rPr>
          <w:b/>
          <w:bCs/>
        </w:rPr>
        <w:t xml:space="preserve">Impact bugetar limitat </w:t>
      </w:r>
      <w:r w:rsidRPr="00CD03D4">
        <w:t>– în forma actuală, sistemul nu aduce venituri consistente la bugetul de stat și, prin încurajarea pieței autoturismelor vechi – de cele mai multe ori nefiscalizate – generează pierderi suplimentare din TVA, contribuții sociale și alte taxe conexe</w:t>
      </w:r>
      <w:r w:rsidR="000C0EC2" w:rsidRPr="00CD03D4">
        <w:t>.</w:t>
      </w:r>
    </w:p>
    <w:p w14:paraId="52A769EC" w14:textId="18CFF909" w:rsidR="00DD64BC" w:rsidRPr="00CD03D4" w:rsidRDefault="00EB7583" w:rsidP="004877F7">
      <w:pPr>
        <w:pStyle w:val="NormalWeb"/>
        <w:numPr>
          <w:ilvl w:val="0"/>
          <w:numId w:val="19"/>
        </w:numPr>
        <w:jc w:val="both"/>
      </w:pPr>
      <w:r w:rsidRPr="00FD2624">
        <w:rPr>
          <w:b/>
          <w:bCs/>
        </w:rPr>
        <w:t>Ignorarea propunerilor APIA</w:t>
      </w:r>
      <w:r w:rsidRPr="00CD03D4">
        <w:t xml:space="preserve"> – </w:t>
      </w:r>
      <w:r w:rsidR="004877F7" w:rsidRPr="00CD03D4">
        <w:t>soluția</w:t>
      </w:r>
      <w:r w:rsidR="00DD64BC" w:rsidRPr="00CD03D4">
        <w:t xml:space="preserve"> transmisă de noi, aliniată la bune practici europene și bazată pe principiul „poluatorul plătește”, nu a fost nici măcar luată în considerare pentru o discuție preliminară</w:t>
      </w:r>
      <w:r w:rsidR="000C0EC2" w:rsidRPr="00CD03D4">
        <w:t>.</w:t>
      </w:r>
    </w:p>
    <w:p w14:paraId="1B05C663" w14:textId="4E9F5C5E" w:rsidR="00395057" w:rsidRPr="00CD03D4" w:rsidRDefault="004345B7" w:rsidP="00DD64BC">
      <w:pPr>
        <w:pStyle w:val="NormalWeb"/>
        <w:jc w:val="both"/>
      </w:pPr>
      <w:r w:rsidRPr="00CD03D4">
        <w:t>Formula impusă prin asumarea răspunderii de către Guvern stabilește impozitul auto exclusiv pe baza cilindreei și a încadrării într-o normă Euro, după cum urmează:</w:t>
      </w:r>
    </w:p>
    <w:tbl>
      <w:tblPr>
        <w:tblW w:w="9540" w:type="dxa"/>
        <w:tblInd w:w="-190" w:type="dxa"/>
        <w:tblCellMar>
          <w:left w:w="0" w:type="dxa"/>
          <w:right w:w="0" w:type="dxa"/>
        </w:tblCellMar>
        <w:tblLook w:val="04A0" w:firstRow="1" w:lastRow="0" w:firstColumn="1" w:lastColumn="0" w:noHBand="0" w:noVBand="1"/>
      </w:tblPr>
      <w:tblGrid>
        <w:gridCol w:w="2520"/>
        <w:gridCol w:w="1620"/>
        <w:gridCol w:w="1310"/>
        <w:gridCol w:w="1310"/>
        <w:gridCol w:w="1310"/>
        <w:gridCol w:w="2070"/>
      </w:tblGrid>
      <w:tr w:rsidR="00080095" w:rsidRPr="00CD03D4" w14:paraId="1E36FB8C" w14:textId="77777777" w:rsidTr="00ED1826">
        <w:trPr>
          <w:trHeight w:val="502"/>
        </w:trPr>
        <w:tc>
          <w:tcPr>
            <w:tcW w:w="25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48E072" w14:textId="77777777" w:rsidR="00080095" w:rsidRPr="00CD03D4" w:rsidRDefault="00080095" w:rsidP="00ED1826">
            <w:pPr>
              <w:pStyle w:val="xmsonormal"/>
              <w:jc w:val="center"/>
              <w:rPr>
                <w:rFonts w:ascii="Times New Roman" w:hAnsi="Times New Roman" w:cs="Times New Roman"/>
                <w:sz w:val="24"/>
                <w:szCs w:val="24"/>
              </w:rPr>
            </w:pPr>
            <w:r w:rsidRPr="00CD03D4">
              <w:rPr>
                <w:rFonts w:ascii="Times New Roman" w:hAnsi="Times New Roman" w:cs="Times New Roman"/>
                <w:b/>
                <w:bCs/>
                <w:color w:val="000000"/>
                <w:sz w:val="24"/>
                <w:szCs w:val="24"/>
              </w:rPr>
              <w:t>Mijloc de transport</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7D756F8" w14:textId="77777777" w:rsidR="00080095" w:rsidRPr="00CD03D4" w:rsidRDefault="00080095" w:rsidP="00ED1826">
            <w:pPr>
              <w:pStyle w:val="xmsonormal"/>
              <w:rPr>
                <w:rFonts w:ascii="Times New Roman" w:hAnsi="Times New Roman" w:cs="Times New Roman"/>
                <w:sz w:val="24"/>
                <w:szCs w:val="24"/>
              </w:rPr>
            </w:pPr>
            <w:r w:rsidRPr="00CD03D4">
              <w:rPr>
                <w:rFonts w:ascii="Times New Roman" w:hAnsi="Times New Roman" w:cs="Times New Roman"/>
                <w:b/>
                <w:bCs/>
                <w:color w:val="000000"/>
                <w:sz w:val="24"/>
                <w:szCs w:val="24"/>
              </w:rPr>
              <w:t>Non Euro - Euro 3</w:t>
            </w:r>
            <w:r w:rsidRPr="00CD03D4">
              <w:rPr>
                <w:rFonts w:ascii="Times New Roman" w:hAnsi="Times New Roman" w:cs="Times New Roman"/>
                <w:b/>
                <w:bCs/>
                <w:color w:val="000000"/>
                <w:sz w:val="24"/>
                <w:szCs w:val="24"/>
              </w:rPr>
              <w:br/>
              <w:t>lei/200cm3</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B3054F7" w14:textId="77777777" w:rsidR="00080095" w:rsidRPr="00CD03D4" w:rsidRDefault="00080095" w:rsidP="00ED1826">
            <w:pPr>
              <w:pStyle w:val="xmsonormal"/>
              <w:jc w:val="center"/>
              <w:rPr>
                <w:rFonts w:ascii="Times New Roman" w:hAnsi="Times New Roman" w:cs="Times New Roman"/>
                <w:sz w:val="24"/>
                <w:szCs w:val="24"/>
              </w:rPr>
            </w:pPr>
            <w:r w:rsidRPr="00CD03D4">
              <w:rPr>
                <w:rFonts w:ascii="Times New Roman" w:hAnsi="Times New Roman" w:cs="Times New Roman"/>
                <w:b/>
                <w:bCs/>
                <w:color w:val="000000"/>
                <w:sz w:val="24"/>
                <w:szCs w:val="24"/>
              </w:rPr>
              <w:t>Euro 4</w:t>
            </w:r>
            <w:r w:rsidRPr="00CD03D4">
              <w:rPr>
                <w:rFonts w:ascii="Times New Roman" w:hAnsi="Times New Roman" w:cs="Times New Roman"/>
                <w:b/>
                <w:bCs/>
                <w:color w:val="000000"/>
                <w:sz w:val="24"/>
                <w:szCs w:val="24"/>
              </w:rPr>
              <w:br/>
              <w:t>lei/200cm3</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8385EA6" w14:textId="77777777" w:rsidR="00080095" w:rsidRPr="00CD03D4" w:rsidRDefault="00080095" w:rsidP="00ED1826">
            <w:pPr>
              <w:pStyle w:val="xmsonormal"/>
              <w:jc w:val="center"/>
              <w:rPr>
                <w:rFonts w:ascii="Times New Roman" w:hAnsi="Times New Roman" w:cs="Times New Roman"/>
                <w:sz w:val="24"/>
                <w:szCs w:val="24"/>
              </w:rPr>
            </w:pPr>
            <w:r w:rsidRPr="00CD03D4">
              <w:rPr>
                <w:rFonts w:ascii="Times New Roman" w:hAnsi="Times New Roman" w:cs="Times New Roman"/>
                <w:b/>
                <w:bCs/>
                <w:color w:val="000000"/>
                <w:sz w:val="24"/>
                <w:szCs w:val="24"/>
              </w:rPr>
              <w:t>Euro 5</w:t>
            </w:r>
            <w:r w:rsidRPr="00CD03D4">
              <w:rPr>
                <w:rFonts w:ascii="Times New Roman" w:hAnsi="Times New Roman" w:cs="Times New Roman"/>
                <w:b/>
                <w:bCs/>
                <w:color w:val="000000"/>
                <w:sz w:val="24"/>
                <w:szCs w:val="24"/>
              </w:rPr>
              <w:br/>
              <w:t>lei/200cm3</w:t>
            </w:r>
          </w:p>
        </w:tc>
        <w:tc>
          <w:tcPr>
            <w:tcW w:w="1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593D4C1" w14:textId="77777777" w:rsidR="00080095" w:rsidRPr="00CD03D4" w:rsidRDefault="00080095" w:rsidP="00ED1826">
            <w:pPr>
              <w:pStyle w:val="xmsonormal"/>
              <w:jc w:val="center"/>
              <w:rPr>
                <w:rFonts w:ascii="Times New Roman" w:hAnsi="Times New Roman" w:cs="Times New Roman"/>
                <w:sz w:val="24"/>
                <w:szCs w:val="24"/>
              </w:rPr>
            </w:pPr>
            <w:r w:rsidRPr="00CD03D4">
              <w:rPr>
                <w:rFonts w:ascii="Times New Roman" w:hAnsi="Times New Roman" w:cs="Times New Roman"/>
                <w:b/>
                <w:bCs/>
                <w:color w:val="000000"/>
                <w:sz w:val="24"/>
                <w:szCs w:val="24"/>
              </w:rPr>
              <w:t>Euro 6</w:t>
            </w:r>
            <w:r w:rsidRPr="00CD03D4">
              <w:rPr>
                <w:rFonts w:ascii="Times New Roman" w:hAnsi="Times New Roman" w:cs="Times New Roman"/>
                <w:b/>
                <w:bCs/>
                <w:color w:val="000000"/>
                <w:sz w:val="24"/>
                <w:szCs w:val="24"/>
              </w:rPr>
              <w:br/>
              <w:t>lei/200cm3</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355D0C5" w14:textId="77777777" w:rsidR="00080095" w:rsidRPr="00CD03D4" w:rsidRDefault="00080095" w:rsidP="00ED1826">
            <w:pPr>
              <w:pStyle w:val="xmsonormal"/>
              <w:jc w:val="center"/>
              <w:rPr>
                <w:rFonts w:ascii="Times New Roman" w:hAnsi="Times New Roman" w:cs="Times New Roman"/>
                <w:sz w:val="24"/>
                <w:szCs w:val="24"/>
              </w:rPr>
            </w:pPr>
            <w:r w:rsidRPr="00CD03D4">
              <w:rPr>
                <w:rFonts w:ascii="Times New Roman" w:hAnsi="Times New Roman" w:cs="Times New Roman"/>
                <w:b/>
                <w:bCs/>
                <w:color w:val="000000"/>
                <w:sz w:val="24"/>
                <w:szCs w:val="24"/>
              </w:rPr>
              <w:t>Hibride cu CO2 &lt;50g/km</w:t>
            </w:r>
            <w:r w:rsidRPr="00CD03D4">
              <w:rPr>
                <w:rFonts w:ascii="Times New Roman" w:hAnsi="Times New Roman" w:cs="Times New Roman"/>
                <w:b/>
                <w:bCs/>
                <w:color w:val="000000"/>
                <w:sz w:val="24"/>
                <w:szCs w:val="24"/>
              </w:rPr>
              <w:br/>
              <w:t>lei/200cm3</w:t>
            </w:r>
          </w:p>
        </w:tc>
      </w:tr>
      <w:tr w:rsidR="00080095" w:rsidRPr="00CD03D4" w14:paraId="243E567B" w14:textId="77777777" w:rsidTr="00ED1826">
        <w:trPr>
          <w:trHeight w:val="290"/>
        </w:trPr>
        <w:tc>
          <w:tcPr>
            <w:tcW w:w="2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5CE581"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Pana in 1600 cm3 inclusiv</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DD4FD2"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19.5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4BE97B"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18.8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48E461"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17.6</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6E4F22"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16.5</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DE826C"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16.2</w:t>
            </w:r>
          </w:p>
        </w:tc>
      </w:tr>
      <w:tr w:rsidR="00080095" w:rsidRPr="00CD03D4" w14:paraId="0F1A7E0D" w14:textId="77777777" w:rsidTr="00ED1826">
        <w:trPr>
          <w:trHeight w:val="290"/>
        </w:trPr>
        <w:tc>
          <w:tcPr>
            <w:tcW w:w="2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888015"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1601 - 2000 cm3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A65F79"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29.7</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A9877D"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28.5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BF9AC8"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26.7</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A1B25D"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25.1</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446D1B"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24.6</w:t>
            </w:r>
          </w:p>
        </w:tc>
      </w:tr>
      <w:tr w:rsidR="00080095" w:rsidRPr="00CD03D4" w14:paraId="54B463A3" w14:textId="77777777" w:rsidTr="00ED1826">
        <w:trPr>
          <w:trHeight w:val="290"/>
        </w:trPr>
        <w:tc>
          <w:tcPr>
            <w:tcW w:w="2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627904"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2001 - 2600 cm3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C93C17"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92.2</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12E338"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88.6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A3C346"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82.8</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7056F"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77.8</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E84538"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76.3</w:t>
            </w:r>
          </w:p>
        </w:tc>
      </w:tr>
      <w:tr w:rsidR="00080095" w:rsidRPr="00CD03D4" w14:paraId="1B619545" w14:textId="77777777" w:rsidTr="00ED1826">
        <w:trPr>
          <w:trHeight w:val="290"/>
        </w:trPr>
        <w:tc>
          <w:tcPr>
            <w:tcW w:w="2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5F4C71"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2601 - 3000 inclusiv</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0457EE"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182.9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AE06DF"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172.8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4A88CE"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154.1</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6F20FA"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151.2</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50DE00"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149.8</w:t>
            </w:r>
          </w:p>
        </w:tc>
      </w:tr>
      <w:tr w:rsidR="00080095" w:rsidRPr="00CD03D4" w14:paraId="6566330C" w14:textId="77777777" w:rsidTr="00ED1826">
        <w:trPr>
          <w:trHeight w:val="290"/>
        </w:trPr>
        <w:tc>
          <w:tcPr>
            <w:tcW w:w="2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A847CB"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Peste 3001 cm3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D6F46A"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319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6B4CCB"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297.3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6DC9C2"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294.4</w:t>
            </w:r>
          </w:p>
        </w:tc>
        <w:tc>
          <w:tcPr>
            <w:tcW w:w="1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E1F24B"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290</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18E06A" w14:textId="77777777" w:rsidR="00080095" w:rsidRPr="00CD03D4" w:rsidRDefault="00080095" w:rsidP="006471C6">
            <w:pPr>
              <w:pStyle w:val="xmsonormal"/>
              <w:jc w:val="both"/>
              <w:rPr>
                <w:rFonts w:ascii="Times New Roman" w:hAnsi="Times New Roman" w:cs="Times New Roman"/>
                <w:sz w:val="24"/>
                <w:szCs w:val="24"/>
              </w:rPr>
            </w:pPr>
            <w:r w:rsidRPr="00CD03D4">
              <w:rPr>
                <w:rFonts w:ascii="Times New Roman" w:hAnsi="Times New Roman" w:cs="Times New Roman"/>
                <w:color w:val="000000"/>
                <w:sz w:val="24"/>
                <w:szCs w:val="24"/>
              </w:rPr>
              <w:t>275.5</w:t>
            </w:r>
          </w:p>
        </w:tc>
      </w:tr>
    </w:tbl>
    <w:p w14:paraId="3E9E220F" w14:textId="1C5E2E77" w:rsidR="00395057" w:rsidRPr="00CD03D4" w:rsidRDefault="00395057" w:rsidP="006471C6">
      <w:pPr>
        <w:pStyle w:val="NormalWeb"/>
        <w:jc w:val="both"/>
      </w:pPr>
      <w:r w:rsidRPr="00CD03D4">
        <w:lastRenderedPageBreak/>
        <w:t xml:space="preserve">Analizând această </w:t>
      </w:r>
      <w:r w:rsidR="00B8576D" w:rsidRPr="00CD03D4">
        <w:t>gril</w:t>
      </w:r>
      <w:r w:rsidRPr="00CD03D4">
        <w:t>ă, constatăm mai multe probleme de fond</w:t>
      </w:r>
      <w:r w:rsidR="00B8576D" w:rsidRPr="00CD03D4">
        <w:t xml:space="preserve">, prima fiind </w:t>
      </w:r>
      <w:r w:rsidR="00B8576D" w:rsidRPr="006F0E46">
        <w:rPr>
          <w:b/>
          <w:bCs/>
        </w:rPr>
        <w:t>diferențele</w:t>
      </w:r>
      <w:r w:rsidR="00E023ED" w:rsidRPr="006F0E46">
        <w:rPr>
          <w:b/>
          <w:bCs/>
        </w:rPr>
        <w:t xml:space="preserve"> prea mici </w:t>
      </w:r>
      <w:r w:rsidR="006471C6" w:rsidRPr="006F0E46">
        <w:rPr>
          <w:b/>
          <w:bCs/>
        </w:rPr>
        <w:t>î</w:t>
      </w:r>
      <w:r w:rsidR="00E023ED" w:rsidRPr="006F0E46">
        <w:rPr>
          <w:b/>
          <w:bCs/>
        </w:rPr>
        <w:t xml:space="preserve">ntre </w:t>
      </w:r>
      <w:r w:rsidR="00B8576D" w:rsidRPr="006F0E46">
        <w:rPr>
          <w:b/>
          <w:bCs/>
        </w:rPr>
        <w:t>poluanți</w:t>
      </w:r>
      <w:r w:rsidR="00E023ED" w:rsidRPr="006F0E46">
        <w:rPr>
          <w:b/>
          <w:bCs/>
        </w:rPr>
        <w:t xml:space="preserve"> </w:t>
      </w:r>
      <w:r w:rsidR="006471C6" w:rsidRPr="006F0E46">
        <w:rPr>
          <w:b/>
          <w:bCs/>
        </w:rPr>
        <w:t>ș</w:t>
      </w:r>
      <w:r w:rsidR="00E023ED" w:rsidRPr="006F0E46">
        <w:rPr>
          <w:b/>
          <w:bCs/>
        </w:rPr>
        <w:t xml:space="preserve">i </w:t>
      </w:r>
      <w:r w:rsidR="00B8576D" w:rsidRPr="006F0E46">
        <w:rPr>
          <w:b/>
          <w:bCs/>
        </w:rPr>
        <w:t>nepoluanți</w:t>
      </w:r>
      <w:r w:rsidR="00E023ED" w:rsidRPr="006F0E46">
        <w:rPr>
          <w:b/>
          <w:bCs/>
        </w:rPr>
        <w:t>.</w:t>
      </w:r>
      <w:r w:rsidR="00E023ED" w:rsidRPr="00CD03D4">
        <w:t xml:space="preserve"> Din grila proiectului, </w:t>
      </w:r>
      <w:r w:rsidR="00B8576D" w:rsidRPr="00CD03D4">
        <w:t>diferența</w:t>
      </w:r>
      <w:r w:rsidR="00E023ED" w:rsidRPr="00CD03D4">
        <w:t xml:space="preserve"> dintre Non Euro/E0–E3 </w:t>
      </w:r>
      <w:r w:rsidR="006471C6" w:rsidRPr="00CD03D4">
        <w:t>ș</w:t>
      </w:r>
      <w:r w:rsidR="00E023ED" w:rsidRPr="00CD03D4">
        <w:t>i Euro 6 este, per 200 cm³, de doar 18,2% (≤1600), 18,3% (1601–2000), 18,5% (2001–2600), 21,0% (2601–3000) si 10,0% (&gt;3001). Aceast</w:t>
      </w:r>
      <w:r w:rsidR="00DC0F16" w:rsidRPr="00CD03D4">
        <w:t>ă</w:t>
      </w:r>
      <w:r w:rsidR="00E023ED" w:rsidRPr="00CD03D4">
        <w:t xml:space="preserve"> amplitudine redus</w:t>
      </w:r>
      <w:r w:rsidR="00DC0F16" w:rsidRPr="00CD03D4">
        <w:t>ă</w:t>
      </w:r>
      <w:r w:rsidR="00E023ED" w:rsidRPr="00CD03D4">
        <w:t xml:space="preserve"> nu transmite un semnal de </w:t>
      </w:r>
      <w:r w:rsidR="00544F5B" w:rsidRPr="00CD03D4">
        <w:t>cost</w:t>
      </w:r>
      <w:r w:rsidR="00E023ED" w:rsidRPr="00CD03D4">
        <w:t xml:space="preserve"> suficient pentru </w:t>
      </w:r>
      <w:r w:rsidR="00DC0F16" w:rsidRPr="00CD03D4">
        <w:t>reînnoirea</w:t>
      </w:r>
      <w:r w:rsidR="00E023ED" w:rsidRPr="00CD03D4">
        <w:t xml:space="preserve"> parcului auto </w:t>
      </w:r>
      <w:r w:rsidR="006471C6" w:rsidRPr="00CD03D4">
        <w:t>ș</w:t>
      </w:r>
      <w:r w:rsidR="00E023ED" w:rsidRPr="00CD03D4">
        <w:t xml:space="preserve">i nu </w:t>
      </w:r>
      <w:r w:rsidR="00DC0F16" w:rsidRPr="00CD03D4">
        <w:t>descurajează</w:t>
      </w:r>
      <w:r w:rsidR="00E023ED" w:rsidRPr="00CD03D4">
        <w:t xml:space="preserve"> ferm </w:t>
      </w:r>
      <w:r w:rsidR="00DC0F16" w:rsidRPr="00CD03D4">
        <w:t xml:space="preserve">menținerea </w:t>
      </w:r>
      <w:r w:rsidR="00E023ED" w:rsidRPr="00CD03D4">
        <w:t>/</w:t>
      </w:r>
      <w:r w:rsidR="00DC0F16" w:rsidRPr="00CD03D4">
        <w:t xml:space="preserve"> achiziția</w:t>
      </w:r>
      <w:r w:rsidR="00E023ED" w:rsidRPr="00CD03D4">
        <w:t xml:space="preserve"> vehiculelor vechi </w:t>
      </w:r>
      <w:r w:rsidR="006471C6" w:rsidRPr="00CD03D4">
        <w:t>ș</w:t>
      </w:r>
      <w:r w:rsidR="00E023ED" w:rsidRPr="00CD03D4">
        <w:t>i poluante.</w:t>
      </w:r>
    </w:p>
    <w:p w14:paraId="7C256930" w14:textId="0A271D94" w:rsidR="005E3C93" w:rsidRPr="00CD03D4" w:rsidRDefault="005E3C93" w:rsidP="005E3C93">
      <w:pPr>
        <w:pStyle w:val="NormalWeb"/>
        <w:jc w:val="both"/>
      </w:pPr>
      <w:r w:rsidRPr="00CD03D4">
        <w:t>Mai mult, noile taxe legate de impozitarea auto nu reușesc să armonizeze evoluția tarifară cu realitățile economice. Între 01.01.2016 și finalul prognozat al lui 2025 (conform datelor oficiale), inflația cumulată a fost de +69,42%, iar cursul RON/EUR a crescut cu +12,4%. În aceeași perioadă, parcul auto a îmbătrânit, iar România continuă să dețină una dintre cele mai ridicate rate de mortalitate rutieră din Uniunea Europeană.</w:t>
      </w:r>
    </w:p>
    <w:p w14:paraId="424145C8" w14:textId="3E78B290" w:rsidR="005E3C93" w:rsidRPr="00CD03D4" w:rsidRDefault="005E3C93" w:rsidP="005E3C93">
      <w:pPr>
        <w:pStyle w:val="NormalWeb"/>
        <w:jc w:val="both"/>
      </w:pPr>
      <w:r w:rsidRPr="00CD03D4">
        <w:t>Conform datelor ETSC din 2024, România a înregistrat aproximativ 77 de decese la un milion de locuitori, față de media UE de 45, astfel ocupând primul loc la nivel european în ceea ce privește mortalitatea în accidente rutiere. Aceste valori alarmante sunt</w:t>
      </w:r>
      <w:r w:rsidR="00FB3124">
        <w:t>,</w:t>
      </w:r>
      <w:r w:rsidRPr="00CD03D4">
        <w:t xml:space="preserve"> în mare parte</w:t>
      </w:r>
      <w:r w:rsidR="00FB3124">
        <w:t>,</w:t>
      </w:r>
      <w:r w:rsidRPr="00CD03D4">
        <w:t xml:space="preserve"> alimentate de circulația excesivă a vehiculelor vechi, nesigure și poluante, care afectează direct siguranța rutieră.</w:t>
      </w:r>
    </w:p>
    <w:p w14:paraId="3FB9BDE5" w14:textId="694AC113" w:rsidR="005E3C93" w:rsidRPr="00CD03D4" w:rsidRDefault="005E3C93" w:rsidP="005E3C93">
      <w:pPr>
        <w:pStyle w:val="NormalWeb"/>
        <w:jc w:val="both"/>
      </w:pPr>
      <w:r w:rsidRPr="00CD03D4">
        <w:t>În plus, lipsa fiscalizării se manifestă la toate nivelurile (transportul și repararea mașinilor, vânzarea efectivă, implicarea personalului, lipsa plăților prin sistemul bancar). Acest fenomen întreține comerțul cu mașini vechi, mai ieftine dar neîntreținute și foarte poluante, care afectează direct siguranța participanților la trafic și mediul înconjurător. Totodată, perpetuarea ne</w:t>
      </w:r>
      <w:r w:rsidR="00626BE4">
        <w:t>-</w:t>
      </w:r>
      <w:r w:rsidRPr="00CD03D4">
        <w:t>fiscalizării afectează dezvoltarea economică a României și agravează deficitul bugetar – o temă care ar trebui să fie prioritară.</w:t>
      </w:r>
    </w:p>
    <w:p w14:paraId="538D7CF4" w14:textId="0156B292" w:rsidR="00395057" w:rsidRPr="00CD03D4" w:rsidRDefault="00395057" w:rsidP="006471C6">
      <w:pPr>
        <w:pStyle w:val="NormalWeb"/>
        <w:jc w:val="both"/>
      </w:pPr>
      <w:r w:rsidRPr="00CD03D4">
        <w:t xml:space="preserve">În </w:t>
      </w:r>
      <w:r w:rsidR="00DC0F16" w:rsidRPr="00CD03D4">
        <w:t>al doilea</w:t>
      </w:r>
      <w:r w:rsidRPr="00CD03D4">
        <w:t xml:space="preserve"> rând, </w:t>
      </w:r>
      <w:r w:rsidR="00BC5BF7" w:rsidRPr="00CD03D4">
        <w:t>dar la fel de important</w:t>
      </w:r>
      <w:r w:rsidR="001165FE" w:rsidRPr="00CD03D4">
        <w:t xml:space="preserve"> de menționat</w:t>
      </w:r>
      <w:r w:rsidR="00BC5BF7" w:rsidRPr="00CD03D4">
        <w:t xml:space="preserve">, </w:t>
      </w:r>
      <w:r w:rsidRPr="00CD03D4">
        <w:rPr>
          <w:rStyle w:val="Strong"/>
        </w:rPr>
        <w:t>normele Euro nu sunt echivalente cu nivelurile de emisii de CO₂</w:t>
      </w:r>
      <w:r w:rsidRPr="00CD03D4">
        <w:t>. Normele Euro au fost introduse începând cu anul 1992 (Euro 1) și au evoluat prin etape succesive – Euro 2, Euro 3, Euro 4, Euro 5 (cu sub-etapele 5a și 5b), Euro 6 (cu sub-etapele 6b, 6c, 6d-TEMP, 6d și 6e) – până la actuala discuție privind Euro 7, planificată pentru 2027. Toate aceste norme stabilesc limite pentru poluanți precum oxizii de azot, particulele, monoxidul de carbon sau hidrocarburile, având ca obiectiv reducerea poluării locale din orașe și impactul direct asupra sănătății.</w:t>
      </w:r>
    </w:p>
    <w:p w14:paraId="75FF7EDE" w14:textId="77777777" w:rsidR="00395057" w:rsidRPr="00CD03D4" w:rsidRDefault="00395057" w:rsidP="006471C6">
      <w:pPr>
        <w:pStyle w:val="NormalWeb"/>
        <w:jc w:val="both"/>
      </w:pPr>
      <w:r w:rsidRPr="00CD03D4">
        <w:t xml:space="preserve">În paralel, Uniunea Europeană a adoptat un alt cadru legislativ, complet separat, pentru reducerea emisiilor de </w:t>
      </w:r>
      <w:r w:rsidRPr="00CD03D4">
        <w:rPr>
          <w:rStyle w:val="Strong"/>
        </w:rPr>
        <w:t>CO₂</w:t>
      </w:r>
      <w:r w:rsidRPr="00CD03D4">
        <w:t>, considerate principalele responsabile de schimbările climatice. Astfel, producătorii auto au avut și au în continuare obligația să respecte ținte de emisii medii de CO₂ pe flotă: 130 g/km în 2015, 95 g/km începând cu 2021 și, în perspectivă, reducerea cu 55% până în 2030 și obiectivul zero emisii pentru vehicule noi în 2035.</w:t>
      </w:r>
    </w:p>
    <w:p w14:paraId="65B30FDE" w14:textId="77777777" w:rsidR="00395057" w:rsidRPr="00CD03D4" w:rsidRDefault="00395057" w:rsidP="006471C6">
      <w:pPr>
        <w:pStyle w:val="NormalWeb"/>
        <w:jc w:val="both"/>
      </w:pPr>
      <w:r w:rsidRPr="00CD03D4">
        <w:t>Prin urmare, propunerea Ministerului – care combină cilindreea cu norma Euro – creează o confuzie între două cadre legislative distincte și ignoră componenta CO₂, cea mai relevantă astăzi în contextul politicilor climatice europene.</w:t>
      </w:r>
    </w:p>
    <w:p w14:paraId="2174B65B" w14:textId="11FF2984" w:rsidR="00395057" w:rsidRPr="00CD03D4" w:rsidRDefault="00395057" w:rsidP="006471C6">
      <w:pPr>
        <w:pStyle w:val="NormalWeb"/>
        <w:jc w:val="both"/>
      </w:pPr>
      <w:r w:rsidRPr="00CD03D4">
        <w:t xml:space="preserve">În al </w:t>
      </w:r>
      <w:r w:rsidR="00DC0F16" w:rsidRPr="00CD03D4">
        <w:t>treilea</w:t>
      </w:r>
      <w:r w:rsidRPr="00CD03D4">
        <w:t xml:space="preserve"> rând</w:t>
      </w:r>
      <w:r w:rsidRPr="00626BE4">
        <w:rPr>
          <w:b/>
          <w:bCs/>
        </w:rPr>
        <w:t>, schema de impozitare prezentată generează anomalii evidente.</w:t>
      </w:r>
      <w:r w:rsidRPr="00CD03D4">
        <w:t xml:space="preserve"> O mașină Euro 6 de un an plătește același impozit ca una de zece ani. Diferențele de taxare între un vehicul Euro 6 și unul Euro 4 sunt minore și nu reflectă diferențele reale de performanță și de </w:t>
      </w:r>
      <w:r w:rsidRPr="00CD03D4">
        <w:lastRenderedPageBreak/>
        <w:t>impact asupra mediului. În același timp, autoturismele mai vechi de zece ani, responsabile pentru cea mai mare parte a poluării și a consumului ridicat, sunt impozitate prea puțin pentru a descuraja menținerea sau achiziți</w:t>
      </w:r>
      <w:r w:rsidR="0073430A" w:rsidRPr="00CD03D4">
        <w:t>onarea</w:t>
      </w:r>
      <w:r w:rsidRPr="00CD03D4">
        <w:t xml:space="preserve"> acestora.</w:t>
      </w:r>
    </w:p>
    <w:p w14:paraId="5C0D348F" w14:textId="00D8D2F0" w:rsidR="00F25C13" w:rsidRPr="00CD03D4" w:rsidRDefault="004A2F3F" w:rsidP="006471C6">
      <w:pPr>
        <w:pStyle w:val="NormalWeb"/>
        <w:jc w:val="both"/>
      </w:pPr>
      <w:r w:rsidRPr="00CD03D4">
        <w:t>În acest sens, vă prezentăm în tabelul următor câteva simulări comparative ale impozitului actual față de cel propus, pentru câteva modele populare din parcul auto național:</w:t>
      </w:r>
    </w:p>
    <w:tbl>
      <w:tblPr>
        <w:tblW w:w="90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7"/>
        <w:gridCol w:w="601"/>
        <w:gridCol w:w="973"/>
        <w:gridCol w:w="822"/>
        <w:gridCol w:w="973"/>
        <w:gridCol w:w="1034"/>
        <w:gridCol w:w="3255"/>
      </w:tblGrid>
      <w:tr w:rsidR="00EE105F" w:rsidRPr="00CD03D4" w14:paraId="08F24655" w14:textId="77777777" w:rsidTr="00EE105F">
        <w:trPr>
          <w:tblHeader/>
          <w:tblCellSpacing w:w="15" w:type="dxa"/>
        </w:trPr>
        <w:tc>
          <w:tcPr>
            <w:tcW w:w="0" w:type="auto"/>
            <w:vAlign w:val="center"/>
            <w:hideMark/>
          </w:tcPr>
          <w:p w14:paraId="7CDF64C1" w14:textId="77777777" w:rsidR="00EE105F" w:rsidRPr="00CD03D4" w:rsidRDefault="00EE105F" w:rsidP="006471C6">
            <w:pPr>
              <w:jc w:val="both"/>
              <w:rPr>
                <w:b/>
                <w:bCs/>
              </w:rPr>
            </w:pPr>
            <w:r w:rsidRPr="00CD03D4">
              <w:rPr>
                <w:b/>
                <w:bCs/>
              </w:rPr>
              <w:t>Model (exemple relevante)</w:t>
            </w:r>
          </w:p>
        </w:tc>
        <w:tc>
          <w:tcPr>
            <w:tcW w:w="551" w:type="dxa"/>
            <w:vAlign w:val="center"/>
            <w:hideMark/>
          </w:tcPr>
          <w:p w14:paraId="21293681" w14:textId="77777777" w:rsidR="00EE105F" w:rsidRPr="00CD03D4" w:rsidRDefault="00EE105F" w:rsidP="006471C6">
            <w:pPr>
              <w:jc w:val="both"/>
              <w:rPr>
                <w:b/>
                <w:bCs/>
              </w:rPr>
            </w:pPr>
            <w:r w:rsidRPr="00CD03D4">
              <w:rPr>
                <w:b/>
                <w:bCs/>
              </w:rPr>
              <w:t>Euro</w:t>
            </w:r>
          </w:p>
        </w:tc>
        <w:tc>
          <w:tcPr>
            <w:tcW w:w="720" w:type="dxa"/>
            <w:vAlign w:val="center"/>
            <w:hideMark/>
          </w:tcPr>
          <w:p w14:paraId="451CA60A" w14:textId="77777777" w:rsidR="00EE105F" w:rsidRPr="00CD03D4" w:rsidRDefault="00EE105F" w:rsidP="006471C6">
            <w:pPr>
              <w:jc w:val="both"/>
              <w:rPr>
                <w:b/>
                <w:bCs/>
              </w:rPr>
            </w:pPr>
            <w:r w:rsidRPr="00CD03D4">
              <w:rPr>
                <w:b/>
                <w:bCs/>
              </w:rPr>
              <w:t>Vechime</w:t>
            </w:r>
          </w:p>
        </w:tc>
        <w:tc>
          <w:tcPr>
            <w:tcW w:w="0" w:type="auto"/>
            <w:vAlign w:val="center"/>
            <w:hideMark/>
          </w:tcPr>
          <w:p w14:paraId="771AA9CB" w14:textId="77777777" w:rsidR="00EE105F" w:rsidRPr="00CD03D4" w:rsidRDefault="00EE105F" w:rsidP="006471C6">
            <w:pPr>
              <w:jc w:val="both"/>
              <w:rPr>
                <w:b/>
                <w:bCs/>
              </w:rPr>
            </w:pPr>
            <w:r w:rsidRPr="00CD03D4">
              <w:rPr>
                <w:b/>
                <w:bCs/>
              </w:rPr>
              <w:t>CO₂ (g/km)</w:t>
            </w:r>
          </w:p>
        </w:tc>
        <w:tc>
          <w:tcPr>
            <w:tcW w:w="0" w:type="auto"/>
            <w:vAlign w:val="center"/>
            <w:hideMark/>
          </w:tcPr>
          <w:p w14:paraId="54F0BA9E" w14:textId="77777777" w:rsidR="00EE105F" w:rsidRPr="00CD03D4" w:rsidRDefault="00EE105F" w:rsidP="006471C6">
            <w:pPr>
              <w:jc w:val="both"/>
              <w:rPr>
                <w:b/>
                <w:bCs/>
              </w:rPr>
            </w:pPr>
            <w:r w:rsidRPr="00CD03D4">
              <w:rPr>
                <w:b/>
                <w:bCs/>
              </w:rPr>
              <w:t>Impozit Actual</w:t>
            </w:r>
          </w:p>
        </w:tc>
        <w:tc>
          <w:tcPr>
            <w:tcW w:w="0" w:type="auto"/>
            <w:vAlign w:val="center"/>
            <w:hideMark/>
          </w:tcPr>
          <w:p w14:paraId="17849F1F" w14:textId="77777777" w:rsidR="00EE105F" w:rsidRPr="00CD03D4" w:rsidRDefault="00EE105F" w:rsidP="006471C6">
            <w:pPr>
              <w:jc w:val="both"/>
              <w:rPr>
                <w:b/>
                <w:bCs/>
              </w:rPr>
            </w:pPr>
            <w:r w:rsidRPr="00CD03D4">
              <w:rPr>
                <w:b/>
                <w:bCs/>
              </w:rPr>
              <w:t>Impozit MT propus</w:t>
            </w:r>
          </w:p>
        </w:tc>
        <w:tc>
          <w:tcPr>
            <w:tcW w:w="3210" w:type="dxa"/>
            <w:vAlign w:val="center"/>
            <w:hideMark/>
          </w:tcPr>
          <w:p w14:paraId="55D935D0" w14:textId="77777777" w:rsidR="00EE105F" w:rsidRPr="00CD03D4" w:rsidRDefault="00EE105F" w:rsidP="006471C6">
            <w:pPr>
              <w:jc w:val="both"/>
              <w:rPr>
                <w:b/>
                <w:bCs/>
              </w:rPr>
            </w:pPr>
            <w:r w:rsidRPr="00CD03D4">
              <w:rPr>
                <w:b/>
                <w:bCs/>
              </w:rPr>
              <w:t>Observații</w:t>
            </w:r>
          </w:p>
        </w:tc>
      </w:tr>
      <w:tr w:rsidR="00EE105F" w:rsidRPr="00CD03D4" w14:paraId="0509107F" w14:textId="77777777" w:rsidTr="00EE105F">
        <w:trPr>
          <w:tblCellSpacing w:w="15" w:type="dxa"/>
        </w:trPr>
        <w:tc>
          <w:tcPr>
            <w:tcW w:w="0" w:type="auto"/>
            <w:vAlign w:val="center"/>
            <w:hideMark/>
          </w:tcPr>
          <w:p w14:paraId="5180CF38" w14:textId="77777777" w:rsidR="00EE105F" w:rsidRPr="00CD03D4" w:rsidRDefault="00EE105F" w:rsidP="006471C6">
            <w:pPr>
              <w:jc w:val="both"/>
            </w:pPr>
            <w:r w:rsidRPr="00CD03D4">
              <w:rPr>
                <w:rStyle w:val="Strong"/>
              </w:rPr>
              <w:t>BMW 320d E46</w:t>
            </w:r>
            <w:r w:rsidRPr="00CD03D4">
              <w:t xml:space="preserve"> (2005)</w:t>
            </w:r>
          </w:p>
        </w:tc>
        <w:tc>
          <w:tcPr>
            <w:tcW w:w="551" w:type="dxa"/>
            <w:vAlign w:val="center"/>
            <w:hideMark/>
          </w:tcPr>
          <w:p w14:paraId="559A74DA" w14:textId="77777777" w:rsidR="00EE105F" w:rsidRPr="00CD03D4" w:rsidRDefault="00EE105F" w:rsidP="006471C6">
            <w:pPr>
              <w:jc w:val="both"/>
            </w:pPr>
            <w:r w:rsidRPr="00CD03D4">
              <w:t>Euro 4</w:t>
            </w:r>
          </w:p>
        </w:tc>
        <w:tc>
          <w:tcPr>
            <w:tcW w:w="720" w:type="dxa"/>
            <w:vAlign w:val="center"/>
            <w:hideMark/>
          </w:tcPr>
          <w:p w14:paraId="2181C369" w14:textId="77777777" w:rsidR="00EE105F" w:rsidRPr="00CD03D4" w:rsidRDefault="00EE105F" w:rsidP="006471C6">
            <w:pPr>
              <w:jc w:val="both"/>
            </w:pPr>
            <w:r w:rsidRPr="00CD03D4">
              <w:t>20 ani</w:t>
            </w:r>
          </w:p>
        </w:tc>
        <w:tc>
          <w:tcPr>
            <w:tcW w:w="0" w:type="auto"/>
            <w:vAlign w:val="center"/>
            <w:hideMark/>
          </w:tcPr>
          <w:p w14:paraId="0A32626C" w14:textId="77777777" w:rsidR="00EE105F" w:rsidRPr="00CD03D4" w:rsidRDefault="00EE105F" w:rsidP="006471C6">
            <w:pPr>
              <w:jc w:val="both"/>
            </w:pPr>
            <w:r w:rsidRPr="00CD03D4">
              <w:t>165</w:t>
            </w:r>
          </w:p>
        </w:tc>
        <w:tc>
          <w:tcPr>
            <w:tcW w:w="0" w:type="auto"/>
            <w:vAlign w:val="center"/>
            <w:hideMark/>
          </w:tcPr>
          <w:p w14:paraId="49F68374" w14:textId="77777777" w:rsidR="00EE105F" w:rsidRPr="00CD03D4" w:rsidRDefault="00EE105F" w:rsidP="006471C6">
            <w:pPr>
              <w:jc w:val="both"/>
            </w:pPr>
            <w:r w:rsidRPr="00CD03D4">
              <w:t>180 lei</w:t>
            </w:r>
          </w:p>
        </w:tc>
        <w:tc>
          <w:tcPr>
            <w:tcW w:w="0" w:type="auto"/>
            <w:vAlign w:val="center"/>
            <w:hideMark/>
          </w:tcPr>
          <w:p w14:paraId="40FA0FEF" w14:textId="77777777" w:rsidR="00EE105F" w:rsidRPr="00CD03D4" w:rsidRDefault="00EE105F" w:rsidP="006471C6">
            <w:pPr>
              <w:jc w:val="both"/>
            </w:pPr>
            <w:r w:rsidRPr="00CD03D4">
              <w:t>284 lei</w:t>
            </w:r>
          </w:p>
        </w:tc>
        <w:tc>
          <w:tcPr>
            <w:tcW w:w="3210" w:type="dxa"/>
            <w:vAlign w:val="center"/>
            <w:hideMark/>
          </w:tcPr>
          <w:p w14:paraId="54420D67" w14:textId="77777777" w:rsidR="00EE105F" w:rsidRPr="00CD03D4" w:rsidRDefault="00EE105F" w:rsidP="006471C6">
            <w:pPr>
              <w:jc w:val="both"/>
            </w:pPr>
            <w:r w:rsidRPr="00CD03D4">
              <w:t>Vehicul vechi și poluant → Ministerul propune o creștere foarte mică.</w:t>
            </w:r>
          </w:p>
        </w:tc>
      </w:tr>
      <w:tr w:rsidR="00EE105F" w:rsidRPr="00CD03D4" w14:paraId="1653614F" w14:textId="77777777" w:rsidTr="00EE105F">
        <w:trPr>
          <w:tblCellSpacing w:w="15" w:type="dxa"/>
        </w:trPr>
        <w:tc>
          <w:tcPr>
            <w:tcW w:w="0" w:type="auto"/>
            <w:vAlign w:val="center"/>
            <w:hideMark/>
          </w:tcPr>
          <w:p w14:paraId="47CA9714" w14:textId="77777777" w:rsidR="00EE105F" w:rsidRPr="00CD03D4" w:rsidRDefault="00EE105F" w:rsidP="006471C6">
            <w:pPr>
              <w:jc w:val="both"/>
            </w:pPr>
            <w:r w:rsidRPr="00CD03D4">
              <w:rPr>
                <w:rStyle w:val="Strong"/>
              </w:rPr>
              <w:t>Skoda Octavia 1.9 TDI</w:t>
            </w:r>
            <w:r w:rsidRPr="00CD03D4">
              <w:t xml:space="preserve"> (2008)</w:t>
            </w:r>
          </w:p>
        </w:tc>
        <w:tc>
          <w:tcPr>
            <w:tcW w:w="551" w:type="dxa"/>
            <w:vAlign w:val="center"/>
            <w:hideMark/>
          </w:tcPr>
          <w:p w14:paraId="4212A3EC" w14:textId="77777777" w:rsidR="00EE105F" w:rsidRPr="00CD03D4" w:rsidRDefault="00EE105F" w:rsidP="006471C6">
            <w:pPr>
              <w:jc w:val="both"/>
            </w:pPr>
            <w:r w:rsidRPr="00CD03D4">
              <w:t>Euro 4</w:t>
            </w:r>
          </w:p>
        </w:tc>
        <w:tc>
          <w:tcPr>
            <w:tcW w:w="720" w:type="dxa"/>
            <w:vAlign w:val="center"/>
            <w:hideMark/>
          </w:tcPr>
          <w:p w14:paraId="60275D6A" w14:textId="77777777" w:rsidR="00EE105F" w:rsidRPr="00CD03D4" w:rsidRDefault="00EE105F" w:rsidP="006471C6">
            <w:pPr>
              <w:jc w:val="both"/>
            </w:pPr>
            <w:r w:rsidRPr="00CD03D4">
              <w:t>17 ani</w:t>
            </w:r>
          </w:p>
        </w:tc>
        <w:tc>
          <w:tcPr>
            <w:tcW w:w="0" w:type="auto"/>
            <w:vAlign w:val="center"/>
            <w:hideMark/>
          </w:tcPr>
          <w:p w14:paraId="61378CB0" w14:textId="77777777" w:rsidR="00EE105F" w:rsidRPr="00CD03D4" w:rsidRDefault="00EE105F" w:rsidP="006471C6">
            <w:pPr>
              <w:jc w:val="both"/>
            </w:pPr>
            <w:r w:rsidRPr="00CD03D4">
              <w:t>140</w:t>
            </w:r>
          </w:p>
        </w:tc>
        <w:tc>
          <w:tcPr>
            <w:tcW w:w="0" w:type="auto"/>
            <w:vAlign w:val="center"/>
            <w:hideMark/>
          </w:tcPr>
          <w:p w14:paraId="2B1D2C55" w14:textId="77777777" w:rsidR="00EE105F" w:rsidRPr="00CD03D4" w:rsidRDefault="00EE105F" w:rsidP="006471C6">
            <w:pPr>
              <w:jc w:val="both"/>
            </w:pPr>
            <w:r w:rsidRPr="00CD03D4">
              <w:t>171 lei</w:t>
            </w:r>
          </w:p>
        </w:tc>
        <w:tc>
          <w:tcPr>
            <w:tcW w:w="0" w:type="auto"/>
            <w:vAlign w:val="center"/>
            <w:hideMark/>
          </w:tcPr>
          <w:p w14:paraId="74021235" w14:textId="77777777" w:rsidR="00EE105F" w:rsidRPr="00CD03D4" w:rsidRDefault="00EE105F" w:rsidP="006471C6">
            <w:pPr>
              <w:jc w:val="both"/>
            </w:pPr>
            <w:r w:rsidRPr="00CD03D4">
              <w:t>270 lei</w:t>
            </w:r>
          </w:p>
        </w:tc>
        <w:tc>
          <w:tcPr>
            <w:tcW w:w="3210" w:type="dxa"/>
            <w:vAlign w:val="center"/>
            <w:hideMark/>
          </w:tcPr>
          <w:p w14:paraId="0E816D86" w14:textId="77777777" w:rsidR="00EE105F" w:rsidRPr="00CD03D4" w:rsidRDefault="00EE105F" w:rsidP="006471C6">
            <w:pPr>
              <w:jc w:val="both"/>
            </w:pPr>
            <w:r w:rsidRPr="00CD03D4">
              <w:t>Diferența prea mică → nu descurajează circulația vehiculelor vechi.</w:t>
            </w:r>
          </w:p>
        </w:tc>
      </w:tr>
      <w:tr w:rsidR="00EE105F" w:rsidRPr="00CD03D4" w14:paraId="50F41E3B" w14:textId="77777777" w:rsidTr="00EE105F">
        <w:trPr>
          <w:tblCellSpacing w:w="15" w:type="dxa"/>
        </w:trPr>
        <w:tc>
          <w:tcPr>
            <w:tcW w:w="0" w:type="auto"/>
            <w:vAlign w:val="center"/>
            <w:hideMark/>
          </w:tcPr>
          <w:p w14:paraId="17C8CCF2" w14:textId="77777777" w:rsidR="00EE105F" w:rsidRPr="00CD03D4" w:rsidRDefault="00EE105F" w:rsidP="006471C6">
            <w:pPr>
              <w:jc w:val="both"/>
            </w:pPr>
            <w:r w:rsidRPr="00CD03D4">
              <w:rPr>
                <w:rStyle w:val="Strong"/>
              </w:rPr>
              <w:t>Opel Astra H 1.6 Twinport</w:t>
            </w:r>
            <w:r w:rsidRPr="00CD03D4">
              <w:t xml:space="preserve"> (2009)</w:t>
            </w:r>
          </w:p>
        </w:tc>
        <w:tc>
          <w:tcPr>
            <w:tcW w:w="551" w:type="dxa"/>
            <w:vAlign w:val="center"/>
            <w:hideMark/>
          </w:tcPr>
          <w:p w14:paraId="0D6B3111" w14:textId="77777777" w:rsidR="00EE105F" w:rsidRPr="00CD03D4" w:rsidRDefault="00EE105F" w:rsidP="006471C6">
            <w:pPr>
              <w:jc w:val="both"/>
            </w:pPr>
            <w:r w:rsidRPr="00CD03D4">
              <w:t>Euro 4</w:t>
            </w:r>
          </w:p>
        </w:tc>
        <w:tc>
          <w:tcPr>
            <w:tcW w:w="720" w:type="dxa"/>
            <w:vAlign w:val="center"/>
            <w:hideMark/>
          </w:tcPr>
          <w:p w14:paraId="644601C9" w14:textId="77777777" w:rsidR="00EE105F" w:rsidRPr="00CD03D4" w:rsidRDefault="00EE105F" w:rsidP="006471C6">
            <w:pPr>
              <w:jc w:val="both"/>
            </w:pPr>
            <w:r w:rsidRPr="00CD03D4">
              <w:t>16 ani</w:t>
            </w:r>
          </w:p>
        </w:tc>
        <w:tc>
          <w:tcPr>
            <w:tcW w:w="0" w:type="auto"/>
            <w:vAlign w:val="center"/>
            <w:hideMark/>
          </w:tcPr>
          <w:p w14:paraId="6CBF6717" w14:textId="77777777" w:rsidR="00EE105F" w:rsidRPr="00CD03D4" w:rsidRDefault="00EE105F" w:rsidP="006471C6">
            <w:pPr>
              <w:jc w:val="both"/>
            </w:pPr>
            <w:r w:rsidRPr="00CD03D4">
              <w:t>157</w:t>
            </w:r>
          </w:p>
        </w:tc>
        <w:tc>
          <w:tcPr>
            <w:tcW w:w="0" w:type="auto"/>
            <w:vAlign w:val="center"/>
            <w:hideMark/>
          </w:tcPr>
          <w:p w14:paraId="05E2CCDA" w14:textId="77777777" w:rsidR="00EE105F" w:rsidRPr="00CD03D4" w:rsidRDefault="00EE105F" w:rsidP="006471C6">
            <w:pPr>
              <w:jc w:val="both"/>
            </w:pPr>
            <w:r w:rsidRPr="00CD03D4">
              <w:t>64 lei</w:t>
            </w:r>
          </w:p>
        </w:tc>
        <w:tc>
          <w:tcPr>
            <w:tcW w:w="0" w:type="auto"/>
            <w:vAlign w:val="center"/>
            <w:hideMark/>
          </w:tcPr>
          <w:p w14:paraId="7BE1D788" w14:textId="77777777" w:rsidR="00EE105F" w:rsidRPr="00CD03D4" w:rsidRDefault="00EE105F" w:rsidP="006471C6">
            <w:pPr>
              <w:jc w:val="both"/>
            </w:pPr>
            <w:r w:rsidRPr="00CD03D4">
              <w:t>150 lei</w:t>
            </w:r>
          </w:p>
        </w:tc>
        <w:tc>
          <w:tcPr>
            <w:tcW w:w="3210" w:type="dxa"/>
            <w:vAlign w:val="center"/>
            <w:hideMark/>
          </w:tcPr>
          <w:p w14:paraId="22166A2E" w14:textId="77777777" w:rsidR="00EE105F" w:rsidRPr="00CD03D4" w:rsidRDefault="00EE105F" w:rsidP="006471C6">
            <w:pPr>
              <w:jc w:val="both"/>
            </w:pPr>
            <w:r w:rsidRPr="00CD03D4">
              <w:t>Taxare aproape simbolică în varianta Ministerului.</w:t>
            </w:r>
          </w:p>
        </w:tc>
      </w:tr>
      <w:tr w:rsidR="00EE105F" w:rsidRPr="00CD03D4" w14:paraId="2948BFDD" w14:textId="77777777" w:rsidTr="00EE105F">
        <w:trPr>
          <w:tblCellSpacing w:w="15" w:type="dxa"/>
        </w:trPr>
        <w:tc>
          <w:tcPr>
            <w:tcW w:w="0" w:type="auto"/>
            <w:vAlign w:val="center"/>
            <w:hideMark/>
          </w:tcPr>
          <w:p w14:paraId="4038AE20" w14:textId="77777777" w:rsidR="00EE105F" w:rsidRPr="00CD03D4" w:rsidRDefault="00EE105F" w:rsidP="006471C6">
            <w:pPr>
              <w:jc w:val="both"/>
            </w:pPr>
            <w:r w:rsidRPr="00CD03D4">
              <w:rPr>
                <w:rStyle w:val="Strong"/>
              </w:rPr>
              <w:t>Dacia Logan 1.0 SCe</w:t>
            </w:r>
            <w:r w:rsidRPr="00CD03D4">
              <w:t xml:space="preserve"> (2015)</w:t>
            </w:r>
          </w:p>
        </w:tc>
        <w:tc>
          <w:tcPr>
            <w:tcW w:w="551" w:type="dxa"/>
            <w:vAlign w:val="center"/>
            <w:hideMark/>
          </w:tcPr>
          <w:p w14:paraId="597CE2A8" w14:textId="77777777" w:rsidR="00EE105F" w:rsidRPr="00CD03D4" w:rsidRDefault="00EE105F" w:rsidP="006471C6">
            <w:pPr>
              <w:jc w:val="both"/>
            </w:pPr>
            <w:r w:rsidRPr="00CD03D4">
              <w:t>Euro 6</w:t>
            </w:r>
          </w:p>
        </w:tc>
        <w:tc>
          <w:tcPr>
            <w:tcW w:w="720" w:type="dxa"/>
            <w:vAlign w:val="center"/>
            <w:hideMark/>
          </w:tcPr>
          <w:p w14:paraId="2710297D" w14:textId="77777777" w:rsidR="00EE105F" w:rsidRPr="00CD03D4" w:rsidRDefault="00EE105F" w:rsidP="006471C6">
            <w:pPr>
              <w:jc w:val="both"/>
            </w:pPr>
            <w:r w:rsidRPr="00CD03D4">
              <w:t>10 ani</w:t>
            </w:r>
          </w:p>
        </w:tc>
        <w:tc>
          <w:tcPr>
            <w:tcW w:w="0" w:type="auto"/>
            <w:vAlign w:val="center"/>
            <w:hideMark/>
          </w:tcPr>
          <w:p w14:paraId="32146DD0" w14:textId="77777777" w:rsidR="00EE105F" w:rsidRPr="00CD03D4" w:rsidRDefault="00EE105F" w:rsidP="006471C6">
            <w:pPr>
              <w:jc w:val="both"/>
            </w:pPr>
            <w:r w:rsidRPr="00CD03D4">
              <w:t>130</w:t>
            </w:r>
          </w:p>
        </w:tc>
        <w:tc>
          <w:tcPr>
            <w:tcW w:w="0" w:type="auto"/>
            <w:vAlign w:val="center"/>
            <w:hideMark/>
          </w:tcPr>
          <w:p w14:paraId="54C59064" w14:textId="77777777" w:rsidR="00EE105F" w:rsidRPr="00CD03D4" w:rsidRDefault="00EE105F" w:rsidP="006471C6">
            <w:pPr>
              <w:jc w:val="both"/>
            </w:pPr>
            <w:r w:rsidRPr="00CD03D4">
              <w:t>40 lei</w:t>
            </w:r>
          </w:p>
        </w:tc>
        <w:tc>
          <w:tcPr>
            <w:tcW w:w="0" w:type="auto"/>
            <w:vAlign w:val="center"/>
            <w:hideMark/>
          </w:tcPr>
          <w:p w14:paraId="6F599D30" w14:textId="77777777" w:rsidR="00EE105F" w:rsidRPr="00CD03D4" w:rsidRDefault="00EE105F" w:rsidP="006471C6">
            <w:pPr>
              <w:jc w:val="both"/>
            </w:pPr>
            <w:r w:rsidRPr="00CD03D4">
              <w:t>82 lei</w:t>
            </w:r>
          </w:p>
        </w:tc>
        <w:tc>
          <w:tcPr>
            <w:tcW w:w="3210" w:type="dxa"/>
            <w:vAlign w:val="center"/>
            <w:hideMark/>
          </w:tcPr>
          <w:p w14:paraId="5BF035B1" w14:textId="77777777" w:rsidR="00EE105F" w:rsidRPr="00CD03D4" w:rsidRDefault="00EE105F" w:rsidP="006471C6">
            <w:pPr>
              <w:jc w:val="both"/>
            </w:pPr>
            <w:r w:rsidRPr="00CD03D4">
              <w:t>Euro 6 vechi → Ministerul nu diferențiază față de unul nou.</w:t>
            </w:r>
          </w:p>
        </w:tc>
      </w:tr>
      <w:tr w:rsidR="00EE105F" w:rsidRPr="00CD03D4" w14:paraId="2FD3DE2C" w14:textId="77777777" w:rsidTr="00EE105F">
        <w:trPr>
          <w:tblCellSpacing w:w="15" w:type="dxa"/>
        </w:trPr>
        <w:tc>
          <w:tcPr>
            <w:tcW w:w="0" w:type="auto"/>
            <w:vAlign w:val="center"/>
            <w:hideMark/>
          </w:tcPr>
          <w:p w14:paraId="66F53EB9" w14:textId="77777777" w:rsidR="00EE105F" w:rsidRPr="00CD03D4" w:rsidRDefault="00EE105F" w:rsidP="006471C6">
            <w:pPr>
              <w:jc w:val="both"/>
            </w:pPr>
            <w:r w:rsidRPr="00CD03D4">
              <w:rPr>
                <w:rStyle w:val="Strong"/>
              </w:rPr>
              <w:t>Dacia Logan 1.0 SCe</w:t>
            </w:r>
            <w:r w:rsidRPr="00CD03D4">
              <w:t xml:space="preserve"> (2022)</w:t>
            </w:r>
          </w:p>
        </w:tc>
        <w:tc>
          <w:tcPr>
            <w:tcW w:w="551" w:type="dxa"/>
            <w:vAlign w:val="center"/>
            <w:hideMark/>
          </w:tcPr>
          <w:p w14:paraId="69743D4F" w14:textId="77777777" w:rsidR="00EE105F" w:rsidRPr="00CD03D4" w:rsidRDefault="00EE105F" w:rsidP="006471C6">
            <w:pPr>
              <w:jc w:val="both"/>
            </w:pPr>
            <w:r w:rsidRPr="00CD03D4">
              <w:t>Euro 6</w:t>
            </w:r>
          </w:p>
        </w:tc>
        <w:tc>
          <w:tcPr>
            <w:tcW w:w="720" w:type="dxa"/>
            <w:vAlign w:val="center"/>
            <w:hideMark/>
          </w:tcPr>
          <w:p w14:paraId="2B60F470" w14:textId="77777777" w:rsidR="00EE105F" w:rsidRPr="00CD03D4" w:rsidRDefault="00EE105F" w:rsidP="006471C6">
            <w:pPr>
              <w:jc w:val="both"/>
            </w:pPr>
            <w:r w:rsidRPr="00CD03D4">
              <w:t>3 ani</w:t>
            </w:r>
          </w:p>
        </w:tc>
        <w:tc>
          <w:tcPr>
            <w:tcW w:w="0" w:type="auto"/>
            <w:vAlign w:val="center"/>
            <w:hideMark/>
          </w:tcPr>
          <w:p w14:paraId="418E4660" w14:textId="77777777" w:rsidR="00EE105F" w:rsidRPr="00CD03D4" w:rsidRDefault="00EE105F" w:rsidP="006471C6">
            <w:pPr>
              <w:jc w:val="both"/>
            </w:pPr>
            <w:r w:rsidRPr="00CD03D4">
              <w:t>120</w:t>
            </w:r>
          </w:p>
        </w:tc>
        <w:tc>
          <w:tcPr>
            <w:tcW w:w="0" w:type="auto"/>
            <w:vAlign w:val="center"/>
            <w:hideMark/>
          </w:tcPr>
          <w:p w14:paraId="0A2EBAFA" w14:textId="77777777" w:rsidR="00EE105F" w:rsidRPr="00CD03D4" w:rsidRDefault="00EE105F" w:rsidP="006471C6">
            <w:pPr>
              <w:jc w:val="both"/>
            </w:pPr>
            <w:r w:rsidRPr="00CD03D4">
              <w:t>40 lei</w:t>
            </w:r>
          </w:p>
        </w:tc>
        <w:tc>
          <w:tcPr>
            <w:tcW w:w="0" w:type="auto"/>
            <w:vAlign w:val="center"/>
            <w:hideMark/>
          </w:tcPr>
          <w:p w14:paraId="33BA73D5" w14:textId="77777777" w:rsidR="00EE105F" w:rsidRPr="00CD03D4" w:rsidRDefault="00EE105F" w:rsidP="006471C6">
            <w:pPr>
              <w:jc w:val="both"/>
            </w:pPr>
            <w:r w:rsidRPr="00CD03D4">
              <w:t>82 lei</w:t>
            </w:r>
          </w:p>
        </w:tc>
        <w:tc>
          <w:tcPr>
            <w:tcW w:w="3210" w:type="dxa"/>
            <w:vAlign w:val="center"/>
            <w:hideMark/>
          </w:tcPr>
          <w:p w14:paraId="12FA852E" w14:textId="77777777" w:rsidR="00EE105F" w:rsidRPr="00CD03D4" w:rsidRDefault="00EE105F" w:rsidP="006471C6">
            <w:pPr>
              <w:jc w:val="both"/>
            </w:pPr>
            <w:r w:rsidRPr="00CD03D4">
              <w:t>Euro 6 nou → impozitat aproape la fel ca unul de 10 ani.</w:t>
            </w:r>
          </w:p>
        </w:tc>
      </w:tr>
      <w:tr w:rsidR="00EE105F" w:rsidRPr="00CD03D4" w14:paraId="1B750A72" w14:textId="77777777" w:rsidTr="00EE105F">
        <w:trPr>
          <w:tblCellSpacing w:w="15" w:type="dxa"/>
        </w:trPr>
        <w:tc>
          <w:tcPr>
            <w:tcW w:w="0" w:type="auto"/>
            <w:vAlign w:val="center"/>
            <w:hideMark/>
          </w:tcPr>
          <w:p w14:paraId="6DFF1B1E" w14:textId="77777777" w:rsidR="00EE105F" w:rsidRPr="00CD03D4" w:rsidRDefault="00EE105F" w:rsidP="006471C6">
            <w:pPr>
              <w:jc w:val="both"/>
            </w:pPr>
            <w:r w:rsidRPr="00CD03D4">
              <w:rPr>
                <w:rStyle w:val="Strong"/>
              </w:rPr>
              <w:t>Audi A6 2.0 TDI</w:t>
            </w:r>
            <w:r w:rsidRPr="00CD03D4">
              <w:t xml:space="preserve"> (2010)</w:t>
            </w:r>
          </w:p>
        </w:tc>
        <w:tc>
          <w:tcPr>
            <w:tcW w:w="551" w:type="dxa"/>
            <w:vAlign w:val="center"/>
            <w:hideMark/>
          </w:tcPr>
          <w:p w14:paraId="6EC045A2" w14:textId="77777777" w:rsidR="00EE105F" w:rsidRPr="00CD03D4" w:rsidRDefault="00EE105F" w:rsidP="006471C6">
            <w:pPr>
              <w:jc w:val="both"/>
            </w:pPr>
            <w:r w:rsidRPr="00CD03D4">
              <w:t>Euro 5</w:t>
            </w:r>
          </w:p>
        </w:tc>
        <w:tc>
          <w:tcPr>
            <w:tcW w:w="720" w:type="dxa"/>
            <w:vAlign w:val="center"/>
            <w:hideMark/>
          </w:tcPr>
          <w:p w14:paraId="613C3BE1" w14:textId="77777777" w:rsidR="00EE105F" w:rsidRPr="00CD03D4" w:rsidRDefault="00EE105F" w:rsidP="006471C6">
            <w:pPr>
              <w:jc w:val="both"/>
            </w:pPr>
            <w:r w:rsidRPr="00CD03D4">
              <w:t>15 ani</w:t>
            </w:r>
          </w:p>
        </w:tc>
        <w:tc>
          <w:tcPr>
            <w:tcW w:w="0" w:type="auto"/>
            <w:vAlign w:val="center"/>
            <w:hideMark/>
          </w:tcPr>
          <w:p w14:paraId="5ED21375" w14:textId="77777777" w:rsidR="00EE105F" w:rsidRPr="00CD03D4" w:rsidRDefault="00EE105F" w:rsidP="006471C6">
            <w:pPr>
              <w:jc w:val="both"/>
            </w:pPr>
            <w:r w:rsidRPr="00CD03D4">
              <w:t>149</w:t>
            </w:r>
          </w:p>
        </w:tc>
        <w:tc>
          <w:tcPr>
            <w:tcW w:w="0" w:type="auto"/>
            <w:vAlign w:val="center"/>
            <w:hideMark/>
          </w:tcPr>
          <w:p w14:paraId="3C415ED9" w14:textId="77777777" w:rsidR="00EE105F" w:rsidRPr="00CD03D4" w:rsidRDefault="00EE105F" w:rsidP="006471C6">
            <w:pPr>
              <w:jc w:val="both"/>
            </w:pPr>
            <w:r w:rsidRPr="00CD03D4">
              <w:t>177 lei</w:t>
            </w:r>
          </w:p>
        </w:tc>
        <w:tc>
          <w:tcPr>
            <w:tcW w:w="0" w:type="auto"/>
            <w:vAlign w:val="center"/>
            <w:hideMark/>
          </w:tcPr>
          <w:p w14:paraId="69D5D196" w14:textId="77777777" w:rsidR="00EE105F" w:rsidRPr="00CD03D4" w:rsidRDefault="00EE105F" w:rsidP="006471C6">
            <w:pPr>
              <w:jc w:val="both"/>
            </w:pPr>
            <w:r w:rsidRPr="00CD03D4">
              <w:t>263 lei</w:t>
            </w:r>
          </w:p>
        </w:tc>
        <w:tc>
          <w:tcPr>
            <w:tcW w:w="3210" w:type="dxa"/>
            <w:vAlign w:val="center"/>
            <w:hideMark/>
          </w:tcPr>
          <w:p w14:paraId="4AD65483" w14:textId="77777777" w:rsidR="00EE105F" w:rsidRPr="00CD03D4" w:rsidRDefault="00EE105F" w:rsidP="006471C6">
            <w:pPr>
              <w:jc w:val="both"/>
            </w:pPr>
            <w:r w:rsidRPr="00CD03D4">
              <w:t>Vechime mare, dar taxarea Ministerului nu este descurajatoare.</w:t>
            </w:r>
          </w:p>
        </w:tc>
      </w:tr>
      <w:tr w:rsidR="00EE105F" w:rsidRPr="00CD03D4" w14:paraId="2F5BA725" w14:textId="77777777" w:rsidTr="00EE105F">
        <w:trPr>
          <w:tblCellSpacing w:w="15" w:type="dxa"/>
        </w:trPr>
        <w:tc>
          <w:tcPr>
            <w:tcW w:w="0" w:type="auto"/>
            <w:vAlign w:val="center"/>
            <w:hideMark/>
          </w:tcPr>
          <w:p w14:paraId="741E7D9E" w14:textId="77777777" w:rsidR="00EE105F" w:rsidRPr="00CD03D4" w:rsidRDefault="00EE105F" w:rsidP="006471C6">
            <w:pPr>
              <w:jc w:val="both"/>
            </w:pPr>
            <w:r w:rsidRPr="00CD03D4">
              <w:rPr>
                <w:rStyle w:val="Strong"/>
              </w:rPr>
              <w:t>Peugeot 3008 1.5 BlueHDi</w:t>
            </w:r>
            <w:r w:rsidRPr="00CD03D4">
              <w:t xml:space="preserve"> (2022)</w:t>
            </w:r>
          </w:p>
        </w:tc>
        <w:tc>
          <w:tcPr>
            <w:tcW w:w="551" w:type="dxa"/>
            <w:vAlign w:val="center"/>
            <w:hideMark/>
          </w:tcPr>
          <w:p w14:paraId="50C61E2B" w14:textId="77777777" w:rsidR="00EE105F" w:rsidRPr="00CD03D4" w:rsidRDefault="00EE105F" w:rsidP="006471C6">
            <w:pPr>
              <w:jc w:val="both"/>
            </w:pPr>
            <w:r w:rsidRPr="00CD03D4">
              <w:t>Euro 6</w:t>
            </w:r>
          </w:p>
        </w:tc>
        <w:tc>
          <w:tcPr>
            <w:tcW w:w="720" w:type="dxa"/>
            <w:vAlign w:val="center"/>
            <w:hideMark/>
          </w:tcPr>
          <w:p w14:paraId="5B80368E" w14:textId="77777777" w:rsidR="00EE105F" w:rsidRPr="00CD03D4" w:rsidRDefault="00EE105F" w:rsidP="006471C6">
            <w:pPr>
              <w:jc w:val="both"/>
            </w:pPr>
            <w:r w:rsidRPr="00CD03D4">
              <w:t>3 ani</w:t>
            </w:r>
          </w:p>
        </w:tc>
        <w:tc>
          <w:tcPr>
            <w:tcW w:w="0" w:type="auto"/>
            <w:vAlign w:val="center"/>
            <w:hideMark/>
          </w:tcPr>
          <w:p w14:paraId="60B9C4BE" w14:textId="77777777" w:rsidR="00EE105F" w:rsidRPr="00CD03D4" w:rsidRDefault="00EE105F" w:rsidP="006471C6">
            <w:pPr>
              <w:jc w:val="both"/>
            </w:pPr>
            <w:r w:rsidRPr="00CD03D4">
              <w:t>109</w:t>
            </w:r>
          </w:p>
        </w:tc>
        <w:tc>
          <w:tcPr>
            <w:tcW w:w="0" w:type="auto"/>
            <w:vAlign w:val="center"/>
            <w:hideMark/>
          </w:tcPr>
          <w:p w14:paraId="51BDA116" w14:textId="77777777" w:rsidR="00EE105F" w:rsidRPr="00CD03D4" w:rsidRDefault="00EE105F" w:rsidP="006471C6">
            <w:pPr>
              <w:jc w:val="both"/>
            </w:pPr>
            <w:r w:rsidRPr="00CD03D4">
              <w:t>60 lei</w:t>
            </w:r>
          </w:p>
        </w:tc>
        <w:tc>
          <w:tcPr>
            <w:tcW w:w="0" w:type="auto"/>
            <w:vAlign w:val="center"/>
            <w:hideMark/>
          </w:tcPr>
          <w:p w14:paraId="245C5F21" w14:textId="77777777" w:rsidR="00EE105F" w:rsidRPr="00CD03D4" w:rsidRDefault="00EE105F" w:rsidP="006471C6">
            <w:pPr>
              <w:jc w:val="both"/>
            </w:pPr>
            <w:r w:rsidRPr="00CD03D4">
              <w:t>124 lei</w:t>
            </w:r>
          </w:p>
        </w:tc>
        <w:tc>
          <w:tcPr>
            <w:tcW w:w="3210" w:type="dxa"/>
            <w:vAlign w:val="center"/>
            <w:hideMark/>
          </w:tcPr>
          <w:p w14:paraId="06BA2CF7" w14:textId="77777777" w:rsidR="00EE105F" w:rsidRPr="00CD03D4" w:rsidRDefault="00EE105F" w:rsidP="006471C6">
            <w:pPr>
              <w:jc w:val="both"/>
            </w:pPr>
            <w:r w:rsidRPr="00CD03D4">
              <w:t>Vehicul modern, eficient → Ministerul îl taxează similar cu unul mai vechi.</w:t>
            </w:r>
          </w:p>
        </w:tc>
      </w:tr>
    </w:tbl>
    <w:p w14:paraId="79A7C1AA" w14:textId="77777777" w:rsidR="00D8569F" w:rsidRPr="00CD03D4" w:rsidRDefault="00395057" w:rsidP="006471C6">
      <w:pPr>
        <w:pStyle w:val="NormalWeb"/>
        <w:jc w:val="both"/>
        <w:rPr>
          <w:b/>
          <w:bCs/>
        </w:rPr>
      </w:pPr>
      <w:r w:rsidRPr="00CD03D4">
        <w:t xml:space="preserve">Această abordare nu stimulează reînnoirea parcului auto și nici orientarea către vehicule cu emisii reduse, fie ele hibride sau electrice. </w:t>
      </w:r>
      <w:r w:rsidRPr="00CD03D4">
        <w:rPr>
          <w:b/>
          <w:bCs/>
        </w:rPr>
        <w:t>Din contră, menține un avantaj competitiv pentru vehiculele vechi și poluante, în contradicție cu obiectivele de mediu asumate de România și Uniunea Europeană.</w:t>
      </w:r>
      <w:r w:rsidR="00D8569F" w:rsidRPr="00CD03D4">
        <w:rPr>
          <w:b/>
          <w:bCs/>
        </w:rPr>
        <w:t xml:space="preserve"> </w:t>
      </w:r>
    </w:p>
    <w:p w14:paraId="013AF021" w14:textId="77777777" w:rsidR="00245D30" w:rsidRPr="00CD03D4" w:rsidRDefault="007A198B" w:rsidP="006471C6">
      <w:pPr>
        <w:pStyle w:val="NormalWeb"/>
        <w:jc w:val="both"/>
      </w:pPr>
      <w:r w:rsidRPr="00CD03D4">
        <w:rPr>
          <w:rStyle w:val="Strong"/>
          <w:b w:val="0"/>
          <w:bCs w:val="0"/>
        </w:rPr>
        <w:t>În concluzie</w:t>
      </w:r>
      <w:r w:rsidRPr="00CD03D4">
        <w:rPr>
          <w:b/>
          <w:bCs/>
        </w:rPr>
        <w:t>,</w:t>
      </w:r>
      <w:r w:rsidRPr="00CD03D4">
        <w:t xml:space="preserve"> considerăm că actuala propunere este </w:t>
      </w:r>
      <w:r w:rsidRPr="00CD03D4">
        <w:rPr>
          <w:rStyle w:val="Strong"/>
        </w:rPr>
        <w:t>greșită și incompletă</w:t>
      </w:r>
      <w:r w:rsidRPr="00CD03D4">
        <w:t>. Ea nu reflectă realitatea tehnologică, nu este corelată cu obiectivele de reducere a emisiilor de CO₂ și nu încurajează tranziția către un transport mai curat și mai eficient.</w:t>
      </w:r>
    </w:p>
    <w:p w14:paraId="5AD1A855" w14:textId="77777777" w:rsidR="0091576E" w:rsidRDefault="0091576E" w:rsidP="006471C6">
      <w:pPr>
        <w:pStyle w:val="NormalWeb"/>
        <w:jc w:val="both"/>
      </w:pPr>
    </w:p>
    <w:p w14:paraId="6C900F36" w14:textId="6CF053F4" w:rsidR="007A198B" w:rsidRPr="00CD03D4" w:rsidRDefault="007A198B" w:rsidP="006471C6">
      <w:pPr>
        <w:pStyle w:val="NormalWeb"/>
        <w:jc w:val="both"/>
      </w:pPr>
      <w:r w:rsidRPr="00CD03D4">
        <w:lastRenderedPageBreak/>
        <w:br/>
        <w:t>Vă rugăm să reanalizați de urgență această formulă și să integrați într-un viitor mecanism de impozitare criterii relevante, precum emisiile de CO₂, vechimea vehiculului și nivelul real de poluare, alături de cilindree și norma Euro.</w:t>
      </w:r>
    </w:p>
    <w:p w14:paraId="6DA46E58" w14:textId="1D911C8B" w:rsidR="007A198B" w:rsidRPr="00CD03D4" w:rsidRDefault="007A198B" w:rsidP="006471C6">
      <w:pPr>
        <w:pStyle w:val="NormalWeb"/>
        <w:jc w:val="both"/>
      </w:pPr>
      <w:r w:rsidRPr="00CD03D4">
        <w:t xml:space="preserve">Reamintim, totodată, că </w:t>
      </w:r>
      <w:r w:rsidRPr="00537E47">
        <w:rPr>
          <w:b/>
          <w:bCs/>
        </w:rPr>
        <w:t>APIA a transmis deja o</w:t>
      </w:r>
      <w:r w:rsidRPr="00CD03D4">
        <w:t xml:space="preserve"> </w:t>
      </w:r>
      <w:r w:rsidRPr="00CD03D4">
        <w:rPr>
          <w:rStyle w:val="Strong"/>
        </w:rPr>
        <w:t>propunere proprie de sistem de impozitare</w:t>
      </w:r>
      <w:r w:rsidRPr="00CD03D4">
        <w:t>, fundamentată pe bune practici europene</w:t>
      </w:r>
      <w:r w:rsidR="00343D52" w:rsidRPr="00CD03D4">
        <w:t xml:space="preserve"> si pe principiul </w:t>
      </w:r>
      <w:r w:rsidR="00901673" w:rsidRPr="00CD03D4">
        <w:t>”</w:t>
      </w:r>
      <w:r w:rsidR="00343D52" w:rsidRPr="00CD03D4">
        <w:t>poluatorul plătește</w:t>
      </w:r>
      <w:r w:rsidR="00901673" w:rsidRPr="00CD03D4">
        <w:t>”</w:t>
      </w:r>
      <w:r w:rsidRPr="00CD03D4">
        <w:t>, care poate reprezenta un punct de plecare solid pentru construcția unui model echilibrat, corect și sustenabil pentru România</w:t>
      </w:r>
      <w:r w:rsidR="00544B0A" w:rsidRPr="00CD03D4">
        <w:t xml:space="preserve"> </w:t>
      </w:r>
      <w:r w:rsidR="003C3E9D" w:rsidRPr="00CD03D4">
        <w:t>dar a fost ignorat</w:t>
      </w:r>
      <w:r w:rsidR="00F94DA7" w:rsidRPr="00CD03D4">
        <w:t>ă</w:t>
      </w:r>
      <w:r w:rsidR="003C3E9D" w:rsidRPr="00CD03D4">
        <w:t xml:space="preserve"> complet </w:t>
      </w:r>
      <w:r w:rsidR="00245D30" w:rsidRPr="00CD03D4">
        <w:t>atât</w:t>
      </w:r>
      <w:r w:rsidR="003C3E9D" w:rsidRPr="00CD03D4">
        <w:t xml:space="preserve"> de fostul Guvern</w:t>
      </w:r>
      <w:r w:rsidR="005D1E0A">
        <w:t>,</w:t>
      </w:r>
      <w:r w:rsidR="003C3E9D" w:rsidRPr="00CD03D4">
        <w:t xml:space="preserve"> c</w:t>
      </w:r>
      <w:r w:rsidR="00245D30" w:rsidRPr="00CD03D4">
        <w:t>â</w:t>
      </w:r>
      <w:r w:rsidR="003C3E9D" w:rsidRPr="00CD03D4">
        <w:t>t si de actualul</w:t>
      </w:r>
      <w:r w:rsidR="005D1E0A">
        <w:t>.</w:t>
      </w:r>
    </w:p>
    <w:p w14:paraId="238826D4" w14:textId="7E93F89D" w:rsidR="00F40834" w:rsidRPr="00CD03D4" w:rsidRDefault="00F40834" w:rsidP="006471C6">
      <w:pPr>
        <w:pStyle w:val="NormalWeb"/>
        <w:jc w:val="both"/>
      </w:pPr>
      <w:r w:rsidRPr="00CD03D4">
        <w:t>În acest sens, atragem atenția că tentativa noastră de a avea un dialog direct cu Ministerul Transporturilor – exact pe această temă – a fost respinsă cu motivarea oficială că „agenda este extrem de încărcată necesitând o prioritizare a acțiunilor”. Din păcate, se pare că definirea unui sistem corect de impozitare auto nu a reprezentat o prioritate pentru Ministerul Transporturilor.</w:t>
      </w:r>
    </w:p>
    <w:p w14:paraId="173D8026" w14:textId="600DD447" w:rsidR="00581619" w:rsidRPr="00CD03D4" w:rsidRDefault="002E14B4" w:rsidP="006471C6">
      <w:pPr>
        <w:jc w:val="both"/>
      </w:pPr>
      <w:r w:rsidRPr="00CD03D4">
        <w:t>România are nevoie de un sistem de impozitare auto corect, modern și sustenabil, care să sprijine tranziția către un transport mai curat. APIA este pregătită să contribuie la această construcție, împreună cu Guvernul României</w:t>
      </w:r>
      <w:r w:rsidR="00CC29DE">
        <w:t>.</w:t>
      </w:r>
    </w:p>
    <w:p w14:paraId="52D5A998" w14:textId="77777777" w:rsidR="00581619" w:rsidRPr="00CD03D4" w:rsidRDefault="00581619" w:rsidP="006471C6">
      <w:pPr>
        <w:jc w:val="both"/>
      </w:pPr>
    </w:p>
    <w:p w14:paraId="5B731F19" w14:textId="77777777" w:rsidR="00A23574" w:rsidRPr="00CD03D4" w:rsidRDefault="00A23574" w:rsidP="00A23574">
      <w:pPr>
        <w:pStyle w:val="NormalWeb"/>
      </w:pPr>
      <w:r w:rsidRPr="00CD03D4">
        <w:rPr>
          <w:rStyle w:val="Strong"/>
        </w:rPr>
        <w:t>Consiliul Director al Asociației Producătorilor și Importatorilor de Automobile (APIA)</w:t>
      </w:r>
    </w:p>
    <w:p w14:paraId="212ACB14" w14:textId="3BD752CF" w:rsidR="00581619" w:rsidRPr="00CD03D4" w:rsidRDefault="00A23574" w:rsidP="00A23574">
      <w:pPr>
        <w:pStyle w:val="NormalWeb"/>
      </w:pPr>
      <w:r w:rsidRPr="00CD03D4">
        <w:t xml:space="preserve">București, </w:t>
      </w:r>
      <w:r w:rsidR="00CC29DE">
        <w:t>5</w:t>
      </w:r>
      <w:r w:rsidRPr="00CD03D4">
        <w:t xml:space="preserve"> septembrie 2025</w:t>
      </w:r>
    </w:p>
    <w:sectPr w:rsidR="00581619" w:rsidRPr="00CD03D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6FCAC" w14:textId="77777777" w:rsidR="00CF10CF" w:rsidRDefault="00CF10CF" w:rsidP="00137F5C">
      <w:r>
        <w:separator/>
      </w:r>
    </w:p>
  </w:endnote>
  <w:endnote w:type="continuationSeparator" w:id="0">
    <w:p w14:paraId="270B460C" w14:textId="77777777" w:rsidR="00CF10CF" w:rsidRDefault="00CF10CF" w:rsidP="0013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038637"/>
      <w:docPartObj>
        <w:docPartGallery w:val="Page Numbers (Bottom of Page)"/>
        <w:docPartUnique/>
      </w:docPartObj>
    </w:sdtPr>
    <w:sdtEndPr>
      <w:rPr>
        <w:noProof/>
      </w:rPr>
    </w:sdtEndPr>
    <w:sdtContent>
      <w:p w14:paraId="7EE7BBBF" w14:textId="72432F8B" w:rsidR="00023FB3" w:rsidRDefault="00891A61" w:rsidP="00891A61">
        <w:pPr>
          <w:pStyle w:val="Footer"/>
        </w:pPr>
        <w:r>
          <w:rPr>
            <w:rFonts w:ascii="Cambria" w:hAnsi="Cambria"/>
            <w:noProof/>
          </w:rPr>
          <w:drawing>
            <wp:anchor distT="0" distB="0" distL="114300" distR="114300" simplePos="0" relativeHeight="251658240" behindDoc="0" locked="0" layoutInCell="1" allowOverlap="1" wp14:anchorId="2AC1070C" wp14:editId="10028C31">
              <wp:simplePos x="0" y="0"/>
              <wp:positionH relativeFrom="page">
                <wp:align>left</wp:align>
              </wp:positionH>
              <wp:positionV relativeFrom="page">
                <wp:align>bottom</wp:align>
              </wp:positionV>
              <wp:extent cx="6503928" cy="838684"/>
              <wp:effectExtent l="0" t="0" r="0" b="0"/>
              <wp:wrapNone/>
              <wp:docPr id="1658093015"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93015" name="Picture 3"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03928" cy="838684"/>
                      </a:xfrm>
                      <a:prstGeom prst="rect">
                        <a:avLst/>
                      </a:prstGeom>
                    </pic:spPr>
                  </pic:pic>
                </a:graphicData>
              </a:graphic>
              <wp14:sizeRelH relativeFrom="margin">
                <wp14:pctWidth>0</wp14:pctWidth>
              </wp14:sizeRelH>
              <wp14:sizeRelV relativeFrom="margin">
                <wp14:pctHeight>0</wp14:pctHeight>
              </wp14:sizeRelV>
            </wp:anchor>
          </w:drawing>
        </w:r>
        <w:r w:rsidR="00023FB3">
          <w:t xml:space="preserve"> </w:t>
        </w:r>
        <w:r>
          <w:tab/>
        </w:r>
        <w:r>
          <w:tab/>
        </w:r>
        <w:r w:rsidR="00023FB3">
          <w:fldChar w:fldCharType="begin"/>
        </w:r>
        <w:r w:rsidR="00023FB3">
          <w:instrText xml:space="preserve"> PAGE   \* MERGEFORMAT </w:instrText>
        </w:r>
        <w:r w:rsidR="00023FB3">
          <w:fldChar w:fldCharType="separate"/>
        </w:r>
        <w:r w:rsidR="00023FB3">
          <w:rPr>
            <w:noProof/>
          </w:rPr>
          <w:t>2</w:t>
        </w:r>
        <w:r w:rsidR="00023FB3">
          <w:rPr>
            <w:noProof/>
          </w:rPr>
          <w:fldChar w:fldCharType="end"/>
        </w:r>
      </w:p>
    </w:sdtContent>
  </w:sdt>
  <w:p w14:paraId="267D4C44" w14:textId="36889A3A" w:rsidR="00E64708" w:rsidRPr="0030672E" w:rsidRDefault="00E64708" w:rsidP="003E38BF">
    <w:pPr>
      <w:pStyle w:val="Footer"/>
      <w:ind w:firstLine="2160"/>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A44AF" w14:textId="77777777" w:rsidR="00CF10CF" w:rsidRDefault="00CF10CF" w:rsidP="00137F5C">
      <w:r>
        <w:separator/>
      </w:r>
    </w:p>
  </w:footnote>
  <w:footnote w:type="continuationSeparator" w:id="0">
    <w:p w14:paraId="5E14B35F" w14:textId="77777777" w:rsidR="00CF10CF" w:rsidRDefault="00CF10CF" w:rsidP="00137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C3A2" w14:textId="4FED8783" w:rsidR="00137F5C" w:rsidRDefault="00E03046">
    <w:pPr>
      <w:pStyle w:val="Header"/>
    </w:pPr>
    <w:r>
      <w:rPr>
        <w:noProof/>
        <w:lang w:val="en-GB" w:eastAsia="en-GB"/>
      </w:rPr>
      <w:drawing>
        <wp:anchor distT="0" distB="0" distL="114300" distR="114300" simplePos="0" relativeHeight="251659264" behindDoc="0" locked="0" layoutInCell="1" allowOverlap="1" wp14:anchorId="0213EB86" wp14:editId="6D3420F1">
          <wp:simplePos x="0" y="0"/>
          <wp:positionH relativeFrom="page">
            <wp:posOffset>-189865</wp:posOffset>
          </wp:positionH>
          <wp:positionV relativeFrom="paragraph">
            <wp:posOffset>-449580</wp:posOffset>
          </wp:positionV>
          <wp:extent cx="7857490" cy="1013460"/>
          <wp:effectExtent l="0" t="0" r="0" b="0"/>
          <wp:wrapSquare wrapText="bothSides"/>
          <wp:docPr id="540923640"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923640"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57490" cy="1013460"/>
                  </a:xfrm>
                  <a:prstGeom prst="rect">
                    <a:avLst/>
                  </a:prstGeom>
                </pic:spPr>
              </pic:pic>
            </a:graphicData>
          </a:graphic>
          <wp14:sizeRelH relativeFrom="margin">
            <wp14:pctWidth>0</wp14:pctWidth>
          </wp14:sizeRelH>
          <wp14:sizeRelV relativeFrom="margin">
            <wp14:pctHeight>0</wp14:pctHeight>
          </wp14:sizeRelV>
        </wp:anchor>
      </w:drawing>
    </w:r>
  </w:p>
  <w:p w14:paraId="75BF143C" w14:textId="77777777" w:rsidR="00137F5C" w:rsidRDefault="00137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615F2"/>
    <w:multiLevelType w:val="multilevel"/>
    <w:tmpl w:val="4ECE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47AE8"/>
    <w:multiLevelType w:val="hybridMultilevel"/>
    <w:tmpl w:val="B8ECE37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06D238F"/>
    <w:multiLevelType w:val="hybridMultilevel"/>
    <w:tmpl w:val="DD8E2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5D6EEA"/>
    <w:multiLevelType w:val="hybridMultilevel"/>
    <w:tmpl w:val="778009CC"/>
    <w:lvl w:ilvl="0" w:tplc="89B2D582">
      <w:numFmt w:val="bullet"/>
      <w:lvlText w:val="-"/>
      <w:lvlJc w:val="left"/>
      <w:pPr>
        <w:tabs>
          <w:tab w:val="num" w:pos="435"/>
        </w:tabs>
        <w:ind w:left="435" w:hanging="360"/>
      </w:pPr>
      <w:rPr>
        <w:rFonts w:ascii="Times New Roman" w:eastAsia="Times New Roman" w:hAnsi="Times New Roman" w:cs="Times New Roman" w:hint="default"/>
      </w:rPr>
    </w:lvl>
    <w:lvl w:ilvl="1" w:tplc="04180003" w:tentative="1">
      <w:start w:val="1"/>
      <w:numFmt w:val="bullet"/>
      <w:lvlText w:val="o"/>
      <w:lvlJc w:val="left"/>
      <w:pPr>
        <w:tabs>
          <w:tab w:val="num" w:pos="1155"/>
        </w:tabs>
        <w:ind w:left="1155" w:hanging="360"/>
      </w:pPr>
      <w:rPr>
        <w:rFonts w:ascii="Courier New" w:hAnsi="Courier New" w:cs="Courier New" w:hint="default"/>
      </w:rPr>
    </w:lvl>
    <w:lvl w:ilvl="2" w:tplc="04180005" w:tentative="1">
      <w:start w:val="1"/>
      <w:numFmt w:val="bullet"/>
      <w:lvlText w:val=""/>
      <w:lvlJc w:val="left"/>
      <w:pPr>
        <w:tabs>
          <w:tab w:val="num" w:pos="1875"/>
        </w:tabs>
        <w:ind w:left="1875" w:hanging="360"/>
      </w:pPr>
      <w:rPr>
        <w:rFonts w:ascii="Wingdings" w:hAnsi="Wingdings" w:hint="default"/>
      </w:rPr>
    </w:lvl>
    <w:lvl w:ilvl="3" w:tplc="04180001" w:tentative="1">
      <w:start w:val="1"/>
      <w:numFmt w:val="bullet"/>
      <w:lvlText w:val=""/>
      <w:lvlJc w:val="left"/>
      <w:pPr>
        <w:tabs>
          <w:tab w:val="num" w:pos="2595"/>
        </w:tabs>
        <w:ind w:left="2595" w:hanging="360"/>
      </w:pPr>
      <w:rPr>
        <w:rFonts w:ascii="Symbol" w:hAnsi="Symbol" w:hint="default"/>
      </w:rPr>
    </w:lvl>
    <w:lvl w:ilvl="4" w:tplc="04180003" w:tentative="1">
      <w:start w:val="1"/>
      <w:numFmt w:val="bullet"/>
      <w:lvlText w:val="o"/>
      <w:lvlJc w:val="left"/>
      <w:pPr>
        <w:tabs>
          <w:tab w:val="num" w:pos="3315"/>
        </w:tabs>
        <w:ind w:left="3315" w:hanging="360"/>
      </w:pPr>
      <w:rPr>
        <w:rFonts w:ascii="Courier New" w:hAnsi="Courier New" w:cs="Courier New" w:hint="default"/>
      </w:rPr>
    </w:lvl>
    <w:lvl w:ilvl="5" w:tplc="04180005" w:tentative="1">
      <w:start w:val="1"/>
      <w:numFmt w:val="bullet"/>
      <w:lvlText w:val=""/>
      <w:lvlJc w:val="left"/>
      <w:pPr>
        <w:tabs>
          <w:tab w:val="num" w:pos="4035"/>
        </w:tabs>
        <w:ind w:left="4035" w:hanging="360"/>
      </w:pPr>
      <w:rPr>
        <w:rFonts w:ascii="Wingdings" w:hAnsi="Wingdings" w:hint="default"/>
      </w:rPr>
    </w:lvl>
    <w:lvl w:ilvl="6" w:tplc="04180001" w:tentative="1">
      <w:start w:val="1"/>
      <w:numFmt w:val="bullet"/>
      <w:lvlText w:val=""/>
      <w:lvlJc w:val="left"/>
      <w:pPr>
        <w:tabs>
          <w:tab w:val="num" w:pos="4755"/>
        </w:tabs>
        <w:ind w:left="4755" w:hanging="360"/>
      </w:pPr>
      <w:rPr>
        <w:rFonts w:ascii="Symbol" w:hAnsi="Symbol" w:hint="default"/>
      </w:rPr>
    </w:lvl>
    <w:lvl w:ilvl="7" w:tplc="04180003" w:tentative="1">
      <w:start w:val="1"/>
      <w:numFmt w:val="bullet"/>
      <w:lvlText w:val="o"/>
      <w:lvlJc w:val="left"/>
      <w:pPr>
        <w:tabs>
          <w:tab w:val="num" w:pos="5475"/>
        </w:tabs>
        <w:ind w:left="5475" w:hanging="360"/>
      </w:pPr>
      <w:rPr>
        <w:rFonts w:ascii="Courier New" w:hAnsi="Courier New" w:cs="Courier New" w:hint="default"/>
      </w:rPr>
    </w:lvl>
    <w:lvl w:ilvl="8" w:tplc="04180005"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2B5514E8"/>
    <w:multiLevelType w:val="hybridMultilevel"/>
    <w:tmpl w:val="E37001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6A6C7D"/>
    <w:multiLevelType w:val="hybridMultilevel"/>
    <w:tmpl w:val="68F279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4C2035"/>
    <w:multiLevelType w:val="hybridMultilevel"/>
    <w:tmpl w:val="727CA1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0372E9"/>
    <w:multiLevelType w:val="hybridMultilevel"/>
    <w:tmpl w:val="A782D4A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70381"/>
    <w:multiLevelType w:val="multilevel"/>
    <w:tmpl w:val="5BC8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D167F"/>
    <w:multiLevelType w:val="hybridMultilevel"/>
    <w:tmpl w:val="DA8844B8"/>
    <w:lvl w:ilvl="0" w:tplc="145ED9B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2D8002B"/>
    <w:multiLevelType w:val="hybridMultilevel"/>
    <w:tmpl w:val="636ED780"/>
    <w:lvl w:ilvl="0" w:tplc="D35AD95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59665B7B"/>
    <w:multiLevelType w:val="hybridMultilevel"/>
    <w:tmpl w:val="A30460AC"/>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598644AF"/>
    <w:multiLevelType w:val="hybridMultilevel"/>
    <w:tmpl w:val="9AF082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691B1E"/>
    <w:multiLevelType w:val="hybridMultilevel"/>
    <w:tmpl w:val="1BF4D1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FDA0576"/>
    <w:multiLevelType w:val="hybridMultilevel"/>
    <w:tmpl w:val="DEEEF1C8"/>
    <w:lvl w:ilvl="0" w:tplc="A52279B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605F42"/>
    <w:multiLevelType w:val="hybridMultilevel"/>
    <w:tmpl w:val="8988C7C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73FE185D"/>
    <w:multiLevelType w:val="hybridMultilevel"/>
    <w:tmpl w:val="10D4D5FE"/>
    <w:lvl w:ilvl="0" w:tplc="FFFFFFFF">
      <w:numFmt w:val="bullet"/>
      <w:lvlText w:val="-"/>
      <w:lvlJc w:val="left"/>
      <w:pPr>
        <w:ind w:left="720" w:hanging="360"/>
      </w:pPr>
      <w:rPr>
        <w:rFonts w:ascii="Trebuchet MS" w:eastAsia="Times New Roman"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71D08"/>
    <w:multiLevelType w:val="hybridMultilevel"/>
    <w:tmpl w:val="71507A6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C272A35"/>
    <w:multiLevelType w:val="multilevel"/>
    <w:tmpl w:val="FA38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755975">
    <w:abstractNumId w:val="12"/>
  </w:num>
  <w:num w:numId="2" w16cid:durableId="2130201981">
    <w:abstractNumId w:val="17"/>
  </w:num>
  <w:num w:numId="3" w16cid:durableId="1216433759">
    <w:abstractNumId w:val="5"/>
  </w:num>
  <w:num w:numId="4" w16cid:durableId="1655063180">
    <w:abstractNumId w:val="16"/>
  </w:num>
  <w:num w:numId="5" w16cid:durableId="1279412146">
    <w:abstractNumId w:val="7"/>
  </w:num>
  <w:num w:numId="6" w16cid:durableId="1777364356">
    <w:abstractNumId w:val="14"/>
  </w:num>
  <w:num w:numId="7" w16cid:durableId="1112094382">
    <w:abstractNumId w:val="4"/>
  </w:num>
  <w:num w:numId="8" w16cid:durableId="652760817">
    <w:abstractNumId w:val="1"/>
  </w:num>
  <w:num w:numId="9" w16cid:durableId="1416168901">
    <w:abstractNumId w:val="2"/>
  </w:num>
  <w:num w:numId="10" w16cid:durableId="171073004">
    <w:abstractNumId w:val="3"/>
  </w:num>
  <w:num w:numId="11" w16cid:durableId="1971400372">
    <w:abstractNumId w:val="11"/>
  </w:num>
  <w:num w:numId="12" w16cid:durableId="2127696005">
    <w:abstractNumId w:val="15"/>
  </w:num>
  <w:num w:numId="13" w16cid:durableId="125128597">
    <w:abstractNumId w:val="13"/>
  </w:num>
  <w:num w:numId="14" w16cid:durableId="1845783208">
    <w:abstractNumId w:val="9"/>
  </w:num>
  <w:num w:numId="15" w16cid:durableId="2061660163">
    <w:abstractNumId w:val="10"/>
  </w:num>
  <w:num w:numId="16" w16cid:durableId="672025314">
    <w:abstractNumId w:val="0"/>
  </w:num>
  <w:num w:numId="17" w16cid:durableId="329405489">
    <w:abstractNumId w:val="18"/>
  </w:num>
  <w:num w:numId="18" w16cid:durableId="1714037238">
    <w:abstractNumId w:val="8"/>
  </w:num>
  <w:num w:numId="19" w16cid:durableId="690299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6F"/>
    <w:rsid w:val="00004A9B"/>
    <w:rsid w:val="00007778"/>
    <w:rsid w:val="0001325D"/>
    <w:rsid w:val="00017EDE"/>
    <w:rsid w:val="000203DF"/>
    <w:rsid w:val="00023486"/>
    <w:rsid w:val="00023FB3"/>
    <w:rsid w:val="000501C7"/>
    <w:rsid w:val="0005724E"/>
    <w:rsid w:val="00066C88"/>
    <w:rsid w:val="00073C86"/>
    <w:rsid w:val="00080095"/>
    <w:rsid w:val="000802A7"/>
    <w:rsid w:val="00090518"/>
    <w:rsid w:val="000916F4"/>
    <w:rsid w:val="00095B29"/>
    <w:rsid w:val="000A4436"/>
    <w:rsid w:val="000A75BE"/>
    <w:rsid w:val="000B39BF"/>
    <w:rsid w:val="000B4237"/>
    <w:rsid w:val="000C0E42"/>
    <w:rsid w:val="000C0EC2"/>
    <w:rsid w:val="000D0E22"/>
    <w:rsid w:val="000D0FFF"/>
    <w:rsid w:val="000D2252"/>
    <w:rsid w:val="000D2D94"/>
    <w:rsid w:val="000D3D01"/>
    <w:rsid w:val="000E0B1C"/>
    <w:rsid w:val="000E6586"/>
    <w:rsid w:val="000F4AB6"/>
    <w:rsid w:val="001045FB"/>
    <w:rsid w:val="00115B25"/>
    <w:rsid w:val="001165FE"/>
    <w:rsid w:val="00132C6D"/>
    <w:rsid w:val="001332ED"/>
    <w:rsid w:val="0013600A"/>
    <w:rsid w:val="00137F5C"/>
    <w:rsid w:val="0014008C"/>
    <w:rsid w:val="0014294F"/>
    <w:rsid w:val="00144EDA"/>
    <w:rsid w:val="00161E85"/>
    <w:rsid w:val="001714E7"/>
    <w:rsid w:val="001825BA"/>
    <w:rsid w:val="00187E95"/>
    <w:rsid w:val="00191207"/>
    <w:rsid w:val="001951B8"/>
    <w:rsid w:val="001A49D1"/>
    <w:rsid w:val="001B17DE"/>
    <w:rsid w:val="001B794B"/>
    <w:rsid w:val="001C0970"/>
    <w:rsid w:val="001C7548"/>
    <w:rsid w:val="001E6BFD"/>
    <w:rsid w:val="001F2E7C"/>
    <w:rsid w:val="001F75C4"/>
    <w:rsid w:val="002033AF"/>
    <w:rsid w:val="00204F5B"/>
    <w:rsid w:val="002118AB"/>
    <w:rsid w:val="00211D1B"/>
    <w:rsid w:val="0021236F"/>
    <w:rsid w:val="0021516B"/>
    <w:rsid w:val="00216C87"/>
    <w:rsid w:val="00217A8D"/>
    <w:rsid w:val="002273F1"/>
    <w:rsid w:val="00227F14"/>
    <w:rsid w:val="002311A5"/>
    <w:rsid w:val="00234212"/>
    <w:rsid w:val="00240928"/>
    <w:rsid w:val="00241FFF"/>
    <w:rsid w:val="00245D30"/>
    <w:rsid w:val="002462FE"/>
    <w:rsid w:val="00253752"/>
    <w:rsid w:val="00256BFB"/>
    <w:rsid w:val="00262D71"/>
    <w:rsid w:val="00266E99"/>
    <w:rsid w:val="00267265"/>
    <w:rsid w:val="0028493F"/>
    <w:rsid w:val="00284ECE"/>
    <w:rsid w:val="0029417C"/>
    <w:rsid w:val="002979F3"/>
    <w:rsid w:val="002A1A3D"/>
    <w:rsid w:val="002A2495"/>
    <w:rsid w:val="002A3078"/>
    <w:rsid w:val="002C3858"/>
    <w:rsid w:val="002D6282"/>
    <w:rsid w:val="002E0109"/>
    <w:rsid w:val="002E13A5"/>
    <w:rsid w:val="002E14B4"/>
    <w:rsid w:val="002E16B7"/>
    <w:rsid w:val="002E71F8"/>
    <w:rsid w:val="002F19A2"/>
    <w:rsid w:val="002F1CCD"/>
    <w:rsid w:val="002F230C"/>
    <w:rsid w:val="0030672E"/>
    <w:rsid w:val="00313642"/>
    <w:rsid w:val="00326FBB"/>
    <w:rsid w:val="00337184"/>
    <w:rsid w:val="00341045"/>
    <w:rsid w:val="003421F5"/>
    <w:rsid w:val="00343D52"/>
    <w:rsid w:val="00350EF3"/>
    <w:rsid w:val="00351F5F"/>
    <w:rsid w:val="00352667"/>
    <w:rsid w:val="00366084"/>
    <w:rsid w:val="00367A78"/>
    <w:rsid w:val="0037649B"/>
    <w:rsid w:val="00384D81"/>
    <w:rsid w:val="003901F4"/>
    <w:rsid w:val="00391686"/>
    <w:rsid w:val="00391D16"/>
    <w:rsid w:val="0039345D"/>
    <w:rsid w:val="003938F1"/>
    <w:rsid w:val="00395057"/>
    <w:rsid w:val="00397B32"/>
    <w:rsid w:val="003B1031"/>
    <w:rsid w:val="003B103F"/>
    <w:rsid w:val="003B17EF"/>
    <w:rsid w:val="003B1C79"/>
    <w:rsid w:val="003B5E68"/>
    <w:rsid w:val="003C010F"/>
    <w:rsid w:val="003C33DE"/>
    <w:rsid w:val="003C3E9D"/>
    <w:rsid w:val="003C69D8"/>
    <w:rsid w:val="003E38BF"/>
    <w:rsid w:val="003F587E"/>
    <w:rsid w:val="003F6C48"/>
    <w:rsid w:val="003F7AC1"/>
    <w:rsid w:val="00405E7C"/>
    <w:rsid w:val="00424282"/>
    <w:rsid w:val="00424DEB"/>
    <w:rsid w:val="004250E9"/>
    <w:rsid w:val="004301AB"/>
    <w:rsid w:val="00430E32"/>
    <w:rsid w:val="0043442F"/>
    <w:rsid w:val="004345B7"/>
    <w:rsid w:val="00435DD8"/>
    <w:rsid w:val="0043795D"/>
    <w:rsid w:val="004433B8"/>
    <w:rsid w:val="00453183"/>
    <w:rsid w:val="00457BFE"/>
    <w:rsid w:val="004605FA"/>
    <w:rsid w:val="00464DF5"/>
    <w:rsid w:val="00466A20"/>
    <w:rsid w:val="00466F6F"/>
    <w:rsid w:val="00474543"/>
    <w:rsid w:val="004838AB"/>
    <w:rsid w:val="004864E4"/>
    <w:rsid w:val="004877F7"/>
    <w:rsid w:val="0048789F"/>
    <w:rsid w:val="004A0E93"/>
    <w:rsid w:val="004A1908"/>
    <w:rsid w:val="004A2F3F"/>
    <w:rsid w:val="004A7C48"/>
    <w:rsid w:val="004B0CE7"/>
    <w:rsid w:val="004B11FC"/>
    <w:rsid w:val="004C4FB6"/>
    <w:rsid w:val="004C51FE"/>
    <w:rsid w:val="004C642E"/>
    <w:rsid w:val="004C7BEA"/>
    <w:rsid w:val="004D6F59"/>
    <w:rsid w:val="004E1C6D"/>
    <w:rsid w:val="004F22AE"/>
    <w:rsid w:val="00500597"/>
    <w:rsid w:val="005035A4"/>
    <w:rsid w:val="00504201"/>
    <w:rsid w:val="00505CA8"/>
    <w:rsid w:val="005118D4"/>
    <w:rsid w:val="0051388D"/>
    <w:rsid w:val="00530EFF"/>
    <w:rsid w:val="00537E47"/>
    <w:rsid w:val="00544B0A"/>
    <w:rsid w:val="00544F5B"/>
    <w:rsid w:val="00562276"/>
    <w:rsid w:val="005705F1"/>
    <w:rsid w:val="00577BD9"/>
    <w:rsid w:val="00581546"/>
    <w:rsid w:val="00581619"/>
    <w:rsid w:val="00584A95"/>
    <w:rsid w:val="00586C79"/>
    <w:rsid w:val="00595F10"/>
    <w:rsid w:val="005C3AB1"/>
    <w:rsid w:val="005D0954"/>
    <w:rsid w:val="005D1348"/>
    <w:rsid w:val="005D1E0A"/>
    <w:rsid w:val="005D3E59"/>
    <w:rsid w:val="005E3C93"/>
    <w:rsid w:val="005E70AD"/>
    <w:rsid w:val="005F0597"/>
    <w:rsid w:val="005F7AAC"/>
    <w:rsid w:val="006125E8"/>
    <w:rsid w:val="00613B54"/>
    <w:rsid w:val="006152FD"/>
    <w:rsid w:val="00615F95"/>
    <w:rsid w:val="006172FC"/>
    <w:rsid w:val="006209E2"/>
    <w:rsid w:val="00622EC6"/>
    <w:rsid w:val="0062450A"/>
    <w:rsid w:val="00626BE4"/>
    <w:rsid w:val="006271F1"/>
    <w:rsid w:val="00627B4D"/>
    <w:rsid w:val="00633C9F"/>
    <w:rsid w:val="00640E90"/>
    <w:rsid w:val="00643EBB"/>
    <w:rsid w:val="006464CE"/>
    <w:rsid w:val="006471C6"/>
    <w:rsid w:val="0064733D"/>
    <w:rsid w:val="00666FC8"/>
    <w:rsid w:val="006705C9"/>
    <w:rsid w:val="006711BD"/>
    <w:rsid w:val="00673D92"/>
    <w:rsid w:val="006A1048"/>
    <w:rsid w:val="006A4458"/>
    <w:rsid w:val="006A561A"/>
    <w:rsid w:val="006B73D4"/>
    <w:rsid w:val="006C56CC"/>
    <w:rsid w:val="006C6DF4"/>
    <w:rsid w:val="006D6786"/>
    <w:rsid w:val="006E7152"/>
    <w:rsid w:val="006F0E46"/>
    <w:rsid w:val="006F3F11"/>
    <w:rsid w:val="006F619D"/>
    <w:rsid w:val="006F6B71"/>
    <w:rsid w:val="006F790C"/>
    <w:rsid w:val="00704DB0"/>
    <w:rsid w:val="00706B4D"/>
    <w:rsid w:val="007135CD"/>
    <w:rsid w:val="0072397D"/>
    <w:rsid w:val="0073430A"/>
    <w:rsid w:val="00734675"/>
    <w:rsid w:val="0074679F"/>
    <w:rsid w:val="00751795"/>
    <w:rsid w:val="00760D69"/>
    <w:rsid w:val="00761140"/>
    <w:rsid w:val="007640E8"/>
    <w:rsid w:val="00772209"/>
    <w:rsid w:val="0077242C"/>
    <w:rsid w:val="0077670C"/>
    <w:rsid w:val="00777ED3"/>
    <w:rsid w:val="007832EA"/>
    <w:rsid w:val="00786C3C"/>
    <w:rsid w:val="00796C73"/>
    <w:rsid w:val="007A198B"/>
    <w:rsid w:val="007A1FBF"/>
    <w:rsid w:val="007A2754"/>
    <w:rsid w:val="007A2C36"/>
    <w:rsid w:val="007B2216"/>
    <w:rsid w:val="007B359B"/>
    <w:rsid w:val="007B51A9"/>
    <w:rsid w:val="007B5EC5"/>
    <w:rsid w:val="007B67E7"/>
    <w:rsid w:val="007C4333"/>
    <w:rsid w:val="007C60A5"/>
    <w:rsid w:val="007D20F7"/>
    <w:rsid w:val="007D2A7C"/>
    <w:rsid w:val="007E1AD4"/>
    <w:rsid w:val="007F538A"/>
    <w:rsid w:val="008055D4"/>
    <w:rsid w:val="00807D00"/>
    <w:rsid w:val="00811332"/>
    <w:rsid w:val="008114DE"/>
    <w:rsid w:val="00820ED2"/>
    <w:rsid w:val="008219BA"/>
    <w:rsid w:val="00822D96"/>
    <w:rsid w:val="00823606"/>
    <w:rsid w:val="00824061"/>
    <w:rsid w:val="00827494"/>
    <w:rsid w:val="008329FF"/>
    <w:rsid w:val="00840D3C"/>
    <w:rsid w:val="008421D8"/>
    <w:rsid w:val="00845BF2"/>
    <w:rsid w:val="0086321B"/>
    <w:rsid w:val="00863C77"/>
    <w:rsid w:val="00875F53"/>
    <w:rsid w:val="00881EEA"/>
    <w:rsid w:val="00883241"/>
    <w:rsid w:val="008838A2"/>
    <w:rsid w:val="00886D1A"/>
    <w:rsid w:val="00891A61"/>
    <w:rsid w:val="008A103A"/>
    <w:rsid w:val="008B2A3D"/>
    <w:rsid w:val="008B6548"/>
    <w:rsid w:val="008B6A81"/>
    <w:rsid w:val="008B6C57"/>
    <w:rsid w:val="008C03EE"/>
    <w:rsid w:val="008C0AE5"/>
    <w:rsid w:val="008C44CD"/>
    <w:rsid w:val="008D2B7A"/>
    <w:rsid w:val="008E664A"/>
    <w:rsid w:val="008F7F71"/>
    <w:rsid w:val="00901673"/>
    <w:rsid w:val="00902025"/>
    <w:rsid w:val="00904212"/>
    <w:rsid w:val="00910D92"/>
    <w:rsid w:val="00911948"/>
    <w:rsid w:val="00913161"/>
    <w:rsid w:val="0091576E"/>
    <w:rsid w:val="00924B7F"/>
    <w:rsid w:val="00936A36"/>
    <w:rsid w:val="00950392"/>
    <w:rsid w:val="0095088D"/>
    <w:rsid w:val="00952211"/>
    <w:rsid w:val="00953371"/>
    <w:rsid w:val="009620D7"/>
    <w:rsid w:val="00962CA9"/>
    <w:rsid w:val="00964217"/>
    <w:rsid w:val="0097033F"/>
    <w:rsid w:val="0098183C"/>
    <w:rsid w:val="009824BC"/>
    <w:rsid w:val="00985B2E"/>
    <w:rsid w:val="0099015B"/>
    <w:rsid w:val="00994A2E"/>
    <w:rsid w:val="009A5107"/>
    <w:rsid w:val="009B1DFB"/>
    <w:rsid w:val="009B4FD9"/>
    <w:rsid w:val="009C3B8B"/>
    <w:rsid w:val="009D12CC"/>
    <w:rsid w:val="009D21BF"/>
    <w:rsid w:val="009D5625"/>
    <w:rsid w:val="009E4D6F"/>
    <w:rsid w:val="009E7A5B"/>
    <w:rsid w:val="00A010D0"/>
    <w:rsid w:val="00A01D41"/>
    <w:rsid w:val="00A05ABC"/>
    <w:rsid w:val="00A116B9"/>
    <w:rsid w:val="00A148C0"/>
    <w:rsid w:val="00A15632"/>
    <w:rsid w:val="00A15A93"/>
    <w:rsid w:val="00A23574"/>
    <w:rsid w:val="00A3175D"/>
    <w:rsid w:val="00A34B3E"/>
    <w:rsid w:val="00A3681A"/>
    <w:rsid w:val="00A37473"/>
    <w:rsid w:val="00A377E1"/>
    <w:rsid w:val="00A404A6"/>
    <w:rsid w:val="00A4090B"/>
    <w:rsid w:val="00A429FF"/>
    <w:rsid w:val="00A45B44"/>
    <w:rsid w:val="00A625D7"/>
    <w:rsid w:val="00A778FD"/>
    <w:rsid w:val="00A82F21"/>
    <w:rsid w:val="00AB0381"/>
    <w:rsid w:val="00AB3F12"/>
    <w:rsid w:val="00AB7442"/>
    <w:rsid w:val="00AC1DFE"/>
    <w:rsid w:val="00AC78EB"/>
    <w:rsid w:val="00AF4434"/>
    <w:rsid w:val="00B01D21"/>
    <w:rsid w:val="00B15C6B"/>
    <w:rsid w:val="00B278E3"/>
    <w:rsid w:val="00B41CF3"/>
    <w:rsid w:val="00B4406C"/>
    <w:rsid w:val="00B45C2B"/>
    <w:rsid w:val="00B507B9"/>
    <w:rsid w:val="00B51D4D"/>
    <w:rsid w:val="00B60D92"/>
    <w:rsid w:val="00B641D8"/>
    <w:rsid w:val="00B67596"/>
    <w:rsid w:val="00B741CE"/>
    <w:rsid w:val="00B7731E"/>
    <w:rsid w:val="00B8495F"/>
    <w:rsid w:val="00B8576D"/>
    <w:rsid w:val="00B93488"/>
    <w:rsid w:val="00BC056A"/>
    <w:rsid w:val="00BC4007"/>
    <w:rsid w:val="00BC4618"/>
    <w:rsid w:val="00BC5BF7"/>
    <w:rsid w:val="00BD21F6"/>
    <w:rsid w:val="00BD32DA"/>
    <w:rsid w:val="00BD6E0B"/>
    <w:rsid w:val="00BD768D"/>
    <w:rsid w:val="00BF1BF4"/>
    <w:rsid w:val="00BF265D"/>
    <w:rsid w:val="00BF34F4"/>
    <w:rsid w:val="00BF6E67"/>
    <w:rsid w:val="00BF71E2"/>
    <w:rsid w:val="00C0044E"/>
    <w:rsid w:val="00C03A0A"/>
    <w:rsid w:val="00C0431F"/>
    <w:rsid w:val="00C11F05"/>
    <w:rsid w:val="00C32ADC"/>
    <w:rsid w:val="00C33B68"/>
    <w:rsid w:val="00C43AEC"/>
    <w:rsid w:val="00C4754C"/>
    <w:rsid w:val="00C5063B"/>
    <w:rsid w:val="00C51667"/>
    <w:rsid w:val="00C51C91"/>
    <w:rsid w:val="00C55D13"/>
    <w:rsid w:val="00C6494A"/>
    <w:rsid w:val="00C75D7F"/>
    <w:rsid w:val="00C82E72"/>
    <w:rsid w:val="00CA0534"/>
    <w:rsid w:val="00CB0240"/>
    <w:rsid w:val="00CC29DE"/>
    <w:rsid w:val="00CC4DA3"/>
    <w:rsid w:val="00CD03D4"/>
    <w:rsid w:val="00CE4E32"/>
    <w:rsid w:val="00CE5762"/>
    <w:rsid w:val="00CF10CF"/>
    <w:rsid w:val="00CF324C"/>
    <w:rsid w:val="00CF56F1"/>
    <w:rsid w:val="00D0594B"/>
    <w:rsid w:val="00D0660A"/>
    <w:rsid w:val="00D17EAD"/>
    <w:rsid w:val="00D226AC"/>
    <w:rsid w:val="00D252B1"/>
    <w:rsid w:val="00D304C6"/>
    <w:rsid w:val="00D3081F"/>
    <w:rsid w:val="00D30912"/>
    <w:rsid w:val="00D317B1"/>
    <w:rsid w:val="00D32CB4"/>
    <w:rsid w:val="00D335A4"/>
    <w:rsid w:val="00D36009"/>
    <w:rsid w:val="00D41555"/>
    <w:rsid w:val="00D50364"/>
    <w:rsid w:val="00D5398A"/>
    <w:rsid w:val="00D60689"/>
    <w:rsid w:val="00D64550"/>
    <w:rsid w:val="00D715C0"/>
    <w:rsid w:val="00D8569F"/>
    <w:rsid w:val="00DA059C"/>
    <w:rsid w:val="00DA5D40"/>
    <w:rsid w:val="00DB1784"/>
    <w:rsid w:val="00DB2B4F"/>
    <w:rsid w:val="00DB3DFA"/>
    <w:rsid w:val="00DC0F16"/>
    <w:rsid w:val="00DC2B5E"/>
    <w:rsid w:val="00DC34A0"/>
    <w:rsid w:val="00DD49A0"/>
    <w:rsid w:val="00DD64BC"/>
    <w:rsid w:val="00DD79A8"/>
    <w:rsid w:val="00DE10CD"/>
    <w:rsid w:val="00DE1EB0"/>
    <w:rsid w:val="00DE59AF"/>
    <w:rsid w:val="00DE693A"/>
    <w:rsid w:val="00DE70C3"/>
    <w:rsid w:val="00E01B87"/>
    <w:rsid w:val="00E023ED"/>
    <w:rsid w:val="00E03046"/>
    <w:rsid w:val="00E0686C"/>
    <w:rsid w:val="00E069F4"/>
    <w:rsid w:val="00E22CFC"/>
    <w:rsid w:val="00E22F1F"/>
    <w:rsid w:val="00E23827"/>
    <w:rsid w:val="00E2540F"/>
    <w:rsid w:val="00E25C9D"/>
    <w:rsid w:val="00E316E5"/>
    <w:rsid w:val="00E33467"/>
    <w:rsid w:val="00E34837"/>
    <w:rsid w:val="00E34E2E"/>
    <w:rsid w:val="00E35C80"/>
    <w:rsid w:val="00E424C5"/>
    <w:rsid w:val="00E63348"/>
    <w:rsid w:val="00E64708"/>
    <w:rsid w:val="00E647DF"/>
    <w:rsid w:val="00E733E0"/>
    <w:rsid w:val="00E74AA1"/>
    <w:rsid w:val="00E7640F"/>
    <w:rsid w:val="00E938D6"/>
    <w:rsid w:val="00E93EEE"/>
    <w:rsid w:val="00EB571F"/>
    <w:rsid w:val="00EB7583"/>
    <w:rsid w:val="00EC49C2"/>
    <w:rsid w:val="00ED09D3"/>
    <w:rsid w:val="00ED1826"/>
    <w:rsid w:val="00ED24A0"/>
    <w:rsid w:val="00ED2D5F"/>
    <w:rsid w:val="00ED3FE9"/>
    <w:rsid w:val="00ED6511"/>
    <w:rsid w:val="00EE105F"/>
    <w:rsid w:val="00EE270B"/>
    <w:rsid w:val="00EE3D52"/>
    <w:rsid w:val="00EE4BFB"/>
    <w:rsid w:val="00EF5733"/>
    <w:rsid w:val="00F0067F"/>
    <w:rsid w:val="00F04FFE"/>
    <w:rsid w:val="00F11DD7"/>
    <w:rsid w:val="00F13126"/>
    <w:rsid w:val="00F249FB"/>
    <w:rsid w:val="00F25C13"/>
    <w:rsid w:val="00F27310"/>
    <w:rsid w:val="00F40834"/>
    <w:rsid w:val="00F4217E"/>
    <w:rsid w:val="00F54FC2"/>
    <w:rsid w:val="00F56A6E"/>
    <w:rsid w:val="00F60822"/>
    <w:rsid w:val="00F61B3B"/>
    <w:rsid w:val="00F62F74"/>
    <w:rsid w:val="00F639C2"/>
    <w:rsid w:val="00F64B41"/>
    <w:rsid w:val="00F70409"/>
    <w:rsid w:val="00F832C1"/>
    <w:rsid w:val="00F94DA7"/>
    <w:rsid w:val="00FA0E2E"/>
    <w:rsid w:val="00FA1F52"/>
    <w:rsid w:val="00FA4CDF"/>
    <w:rsid w:val="00FB0078"/>
    <w:rsid w:val="00FB3124"/>
    <w:rsid w:val="00FB3E9A"/>
    <w:rsid w:val="00FC30A8"/>
    <w:rsid w:val="00FC6620"/>
    <w:rsid w:val="00FC6B92"/>
    <w:rsid w:val="00FD1060"/>
    <w:rsid w:val="00FD2624"/>
    <w:rsid w:val="00FE43CF"/>
    <w:rsid w:val="00FE53B0"/>
    <w:rsid w:val="00FE5B4E"/>
    <w:rsid w:val="00FF0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6F6F2"/>
  <w15:docId w15:val="{85EDD206-D474-406D-9B23-2B647329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2E"/>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A3D"/>
    <w:pPr>
      <w:ind w:left="720"/>
      <w:contextualSpacing/>
    </w:pPr>
  </w:style>
  <w:style w:type="paragraph" w:styleId="Header">
    <w:name w:val="header"/>
    <w:basedOn w:val="Normal"/>
    <w:link w:val="HeaderChar"/>
    <w:uiPriority w:val="99"/>
    <w:unhideWhenUsed/>
    <w:rsid w:val="00137F5C"/>
    <w:pPr>
      <w:tabs>
        <w:tab w:val="center" w:pos="4513"/>
        <w:tab w:val="right" w:pos="9026"/>
      </w:tabs>
    </w:pPr>
  </w:style>
  <w:style w:type="character" w:customStyle="1" w:styleId="HeaderChar">
    <w:name w:val="Header Char"/>
    <w:basedOn w:val="DefaultParagraphFont"/>
    <w:link w:val="Header"/>
    <w:uiPriority w:val="99"/>
    <w:rsid w:val="00137F5C"/>
  </w:style>
  <w:style w:type="paragraph" w:styleId="Footer">
    <w:name w:val="footer"/>
    <w:basedOn w:val="Normal"/>
    <w:link w:val="FooterChar"/>
    <w:uiPriority w:val="99"/>
    <w:unhideWhenUsed/>
    <w:rsid w:val="00137F5C"/>
    <w:pPr>
      <w:tabs>
        <w:tab w:val="center" w:pos="4513"/>
        <w:tab w:val="right" w:pos="9026"/>
      </w:tabs>
    </w:pPr>
  </w:style>
  <w:style w:type="character" w:customStyle="1" w:styleId="FooterChar">
    <w:name w:val="Footer Char"/>
    <w:basedOn w:val="DefaultParagraphFont"/>
    <w:link w:val="Footer"/>
    <w:uiPriority w:val="99"/>
    <w:rsid w:val="00137F5C"/>
  </w:style>
  <w:style w:type="paragraph" w:styleId="BalloonText">
    <w:name w:val="Balloon Text"/>
    <w:basedOn w:val="Normal"/>
    <w:link w:val="BalloonTextChar"/>
    <w:uiPriority w:val="99"/>
    <w:semiHidden/>
    <w:unhideWhenUsed/>
    <w:rsid w:val="00137F5C"/>
    <w:rPr>
      <w:rFonts w:ascii="Tahoma" w:hAnsi="Tahoma" w:cs="Tahoma"/>
      <w:sz w:val="16"/>
      <w:szCs w:val="16"/>
    </w:rPr>
  </w:style>
  <w:style w:type="character" w:customStyle="1" w:styleId="BalloonTextChar">
    <w:name w:val="Balloon Text Char"/>
    <w:link w:val="BalloonText"/>
    <w:uiPriority w:val="99"/>
    <w:semiHidden/>
    <w:rsid w:val="00137F5C"/>
    <w:rPr>
      <w:rFonts w:ascii="Tahoma" w:hAnsi="Tahoma" w:cs="Tahoma"/>
      <w:sz w:val="16"/>
      <w:szCs w:val="16"/>
    </w:rPr>
  </w:style>
  <w:style w:type="paragraph" w:styleId="NormalWeb">
    <w:name w:val="Normal (Web)"/>
    <w:basedOn w:val="Normal"/>
    <w:uiPriority w:val="99"/>
    <w:unhideWhenUsed/>
    <w:rsid w:val="00D17EAD"/>
    <w:pPr>
      <w:spacing w:before="100" w:beforeAutospacing="1" w:after="100" w:afterAutospacing="1"/>
    </w:pPr>
  </w:style>
  <w:style w:type="character" w:styleId="Hyperlink">
    <w:name w:val="Hyperlink"/>
    <w:basedOn w:val="DefaultParagraphFont"/>
    <w:uiPriority w:val="99"/>
    <w:unhideWhenUsed/>
    <w:rsid w:val="00256BFB"/>
    <w:rPr>
      <w:color w:val="0000FF" w:themeColor="hyperlink"/>
      <w:u w:val="single"/>
    </w:rPr>
  </w:style>
  <w:style w:type="character" w:styleId="UnresolvedMention">
    <w:name w:val="Unresolved Mention"/>
    <w:basedOn w:val="DefaultParagraphFont"/>
    <w:uiPriority w:val="99"/>
    <w:semiHidden/>
    <w:unhideWhenUsed/>
    <w:rsid w:val="00256BFB"/>
    <w:rPr>
      <w:color w:val="605E5C"/>
      <w:shd w:val="clear" w:color="auto" w:fill="E1DFDD"/>
    </w:rPr>
  </w:style>
  <w:style w:type="character" w:styleId="Strong">
    <w:name w:val="Strong"/>
    <w:basedOn w:val="DefaultParagraphFont"/>
    <w:uiPriority w:val="22"/>
    <w:qFormat/>
    <w:rsid w:val="00341045"/>
    <w:rPr>
      <w:b/>
      <w:bCs/>
    </w:rPr>
  </w:style>
  <w:style w:type="paragraph" w:customStyle="1" w:styleId="xmsonormal">
    <w:name w:val="x_msonormal"/>
    <w:basedOn w:val="Normal"/>
    <w:rsid w:val="0008009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7825">
      <w:bodyDiv w:val="1"/>
      <w:marLeft w:val="0"/>
      <w:marRight w:val="0"/>
      <w:marTop w:val="0"/>
      <w:marBottom w:val="0"/>
      <w:divBdr>
        <w:top w:val="none" w:sz="0" w:space="0" w:color="auto"/>
        <w:left w:val="none" w:sz="0" w:space="0" w:color="auto"/>
        <w:bottom w:val="none" w:sz="0" w:space="0" w:color="auto"/>
        <w:right w:val="none" w:sz="0" w:space="0" w:color="auto"/>
      </w:divBdr>
    </w:div>
    <w:div w:id="64453066">
      <w:bodyDiv w:val="1"/>
      <w:marLeft w:val="0"/>
      <w:marRight w:val="0"/>
      <w:marTop w:val="0"/>
      <w:marBottom w:val="0"/>
      <w:divBdr>
        <w:top w:val="none" w:sz="0" w:space="0" w:color="auto"/>
        <w:left w:val="none" w:sz="0" w:space="0" w:color="auto"/>
        <w:bottom w:val="none" w:sz="0" w:space="0" w:color="auto"/>
        <w:right w:val="none" w:sz="0" w:space="0" w:color="auto"/>
      </w:divBdr>
      <w:divsChild>
        <w:div w:id="1352027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26146">
      <w:bodyDiv w:val="1"/>
      <w:marLeft w:val="0"/>
      <w:marRight w:val="0"/>
      <w:marTop w:val="0"/>
      <w:marBottom w:val="0"/>
      <w:divBdr>
        <w:top w:val="none" w:sz="0" w:space="0" w:color="auto"/>
        <w:left w:val="none" w:sz="0" w:space="0" w:color="auto"/>
        <w:bottom w:val="none" w:sz="0" w:space="0" w:color="auto"/>
        <w:right w:val="none" w:sz="0" w:space="0" w:color="auto"/>
      </w:divBdr>
    </w:div>
    <w:div w:id="423232613">
      <w:bodyDiv w:val="1"/>
      <w:marLeft w:val="0"/>
      <w:marRight w:val="0"/>
      <w:marTop w:val="0"/>
      <w:marBottom w:val="0"/>
      <w:divBdr>
        <w:top w:val="none" w:sz="0" w:space="0" w:color="auto"/>
        <w:left w:val="none" w:sz="0" w:space="0" w:color="auto"/>
        <w:bottom w:val="none" w:sz="0" w:space="0" w:color="auto"/>
        <w:right w:val="none" w:sz="0" w:space="0" w:color="auto"/>
      </w:divBdr>
      <w:divsChild>
        <w:div w:id="910697268">
          <w:blockQuote w:val="1"/>
          <w:marLeft w:val="720"/>
          <w:marRight w:val="720"/>
          <w:marTop w:val="100"/>
          <w:marBottom w:val="100"/>
          <w:divBdr>
            <w:top w:val="none" w:sz="0" w:space="0" w:color="auto"/>
            <w:left w:val="none" w:sz="0" w:space="0" w:color="auto"/>
            <w:bottom w:val="none" w:sz="0" w:space="0" w:color="auto"/>
            <w:right w:val="none" w:sz="0" w:space="0" w:color="auto"/>
          </w:divBdr>
        </w:div>
        <w:div w:id="396321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354577">
      <w:bodyDiv w:val="1"/>
      <w:marLeft w:val="0"/>
      <w:marRight w:val="0"/>
      <w:marTop w:val="0"/>
      <w:marBottom w:val="0"/>
      <w:divBdr>
        <w:top w:val="none" w:sz="0" w:space="0" w:color="auto"/>
        <w:left w:val="none" w:sz="0" w:space="0" w:color="auto"/>
        <w:bottom w:val="none" w:sz="0" w:space="0" w:color="auto"/>
        <w:right w:val="none" w:sz="0" w:space="0" w:color="auto"/>
      </w:divBdr>
    </w:div>
    <w:div w:id="636645721">
      <w:bodyDiv w:val="1"/>
      <w:marLeft w:val="0"/>
      <w:marRight w:val="0"/>
      <w:marTop w:val="0"/>
      <w:marBottom w:val="0"/>
      <w:divBdr>
        <w:top w:val="none" w:sz="0" w:space="0" w:color="auto"/>
        <w:left w:val="none" w:sz="0" w:space="0" w:color="auto"/>
        <w:bottom w:val="none" w:sz="0" w:space="0" w:color="auto"/>
        <w:right w:val="none" w:sz="0" w:space="0" w:color="auto"/>
      </w:divBdr>
    </w:div>
    <w:div w:id="750002505">
      <w:bodyDiv w:val="1"/>
      <w:marLeft w:val="0"/>
      <w:marRight w:val="0"/>
      <w:marTop w:val="0"/>
      <w:marBottom w:val="0"/>
      <w:divBdr>
        <w:top w:val="none" w:sz="0" w:space="0" w:color="auto"/>
        <w:left w:val="none" w:sz="0" w:space="0" w:color="auto"/>
        <w:bottom w:val="none" w:sz="0" w:space="0" w:color="auto"/>
        <w:right w:val="none" w:sz="0" w:space="0" w:color="auto"/>
      </w:divBdr>
    </w:div>
    <w:div w:id="801506212">
      <w:bodyDiv w:val="1"/>
      <w:marLeft w:val="0"/>
      <w:marRight w:val="0"/>
      <w:marTop w:val="0"/>
      <w:marBottom w:val="0"/>
      <w:divBdr>
        <w:top w:val="none" w:sz="0" w:space="0" w:color="auto"/>
        <w:left w:val="none" w:sz="0" w:space="0" w:color="auto"/>
        <w:bottom w:val="none" w:sz="0" w:space="0" w:color="auto"/>
        <w:right w:val="none" w:sz="0" w:space="0" w:color="auto"/>
      </w:divBdr>
    </w:div>
    <w:div w:id="887834385">
      <w:bodyDiv w:val="1"/>
      <w:marLeft w:val="0"/>
      <w:marRight w:val="0"/>
      <w:marTop w:val="0"/>
      <w:marBottom w:val="0"/>
      <w:divBdr>
        <w:top w:val="none" w:sz="0" w:space="0" w:color="auto"/>
        <w:left w:val="none" w:sz="0" w:space="0" w:color="auto"/>
        <w:bottom w:val="none" w:sz="0" w:space="0" w:color="auto"/>
        <w:right w:val="none" w:sz="0" w:space="0" w:color="auto"/>
      </w:divBdr>
      <w:divsChild>
        <w:div w:id="2019849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2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04239">
      <w:bodyDiv w:val="1"/>
      <w:marLeft w:val="0"/>
      <w:marRight w:val="0"/>
      <w:marTop w:val="0"/>
      <w:marBottom w:val="0"/>
      <w:divBdr>
        <w:top w:val="none" w:sz="0" w:space="0" w:color="auto"/>
        <w:left w:val="none" w:sz="0" w:space="0" w:color="auto"/>
        <w:bottom w:val="none" w:sz="0" w:space="0" w:color="auto"/>
        <w:right w:val="none" w:sz="0" w:space="0" w:color="auto"/>
      </w:divBdr>
    </w:div>
    <w:div w:id="1077286906">
      <w:bodyDiv w:val="1"/>
      <w:marLeft w:val="0"/>
      <w:marRight w:val="0"/>
      <w:marTop w:val="0"/>
      <w:marBottom w:val="0"/>
      <w:divBdr>
        <w:top w:val="none" w:sz="0" w:space="0" w:color="auto"/>
        <w:left w:val="none" w:sz="0" w:space="0" w:color="auto"/>
        <w:bottom w:val="none" w:sz="0" w:space="0" w:color="auto"/>
        <w:right w:val="none" w:sz="0" w:space="0" w:color="auto"/>
      </w:divBdr>
      <w:divsChild>
        <w:div w:id="1651790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532484">
      <w:bodyDiv w:val="1"/>
      <w:marLeft w:val="0"/>
      <w:marRight w:val="0"/>
      <w:marTop w:val="0"/>
      <w:marBottom w:val="0"/>
      <w:divBdr>
        <w:top w:val="none" w:sz="0" w:space="0" w:color="auto"/>
        <w:left w:val="none" w:sz="0" w:space="0" w:color="auto"/>
        <w:bottom w:val="none" w:sz="0" w:space="0" w:color="auto"/>
        <w:right w:val="none" w:sz="0" w:space="0" w:color="auto"/>
      </w:divBdr>
    </w:div>
    <w:div w:id="1181967738">
      <w:bodyDiv w:val="1"/>
      <w:marLeft w:val="0"/>
      <w:marRight w:val="0"/>
      <w:marTop w:val="0"/>
      <w:marBottom w:val="0"/>
      <w:divBdr>
        <w:top w:val="none" w:sz="0" w:space="0" w:color="auto"/>
        <w:left w:val="none" w:sz="0" w:space="0" w:color="auto"/>
        <w:bottom w:val="none" w:sz="0" w:space="0" w:color="auto"/>
        <w:right w:val="none" w:sz="0" w:space="0" w:color="auto"/>
      </w:divBdr>
    </w:div>
    <w:div w:id="1187644861">
      <w:bodyDiv w:val="1"/>
      <w:marLeft w:val="0"/>
      <w:marRight w:val="0"/>
      <w:marTop w:val="0"/>
      <w:marBottom w:val="0"/>
      <w:divBdr>
        <w:top w:val="none" w:sz="0" w:space="0" w:color="auto"/>
        <w:left w:val="none" w:sz="0" w:space="0" w:color="auto"/>
        <w:bottom w:val="none" w:sz="0" w:space="0" w:color="auto"/>
        <w:right w:val="none" w:sz="0" w:space="0" w:color="auto"/>
      </w:divBdr>
    </w:div>
    <w:div w:id="1229225696">
      <w:bodyDiv w:val="1"/>
      <w:marLeft w:val="0"/>
      <w:marRight w:val="0"/>
      <w:marTop w:val="0"/>
      <w:marBottom w:val="0"/>
      <w:divBdr>
        <w:top w:val="none" w:sz="0" w:space="0" w:color="auto"/>
        <w:left w:val="none" w:sz="0" w:space="0" w:color="auto"/>
        <w:bottom w:val="none" w:sz="0" w:space="0" w:color="auto"/>
        <w:right w:val="none" w:sz="0" w:space="0" w:color="auto"/>
      </w:divBdr>
    </w:div>
    <w:div w:id="1241794917">
      <w:bodyDiv w:val="1"/>
      <w:marLeft w:val="0"/>
      <w:marRight w:val="0"/>
      <w:marTop w:val="0"/>
      <w:marBottom w:val="0"/>
      <w:divBdr>
        <w:top w:val="none" w:sz="0" w:space="0" w:color="auto"/>
        <w:left w:val="none" w:sz="0" w:space="0" w:color="auto"/>
        <w:bottom w:val="none" w:sz="0" w:space="0" w:color="auto"/>
        <w:right w:val="none" w:sz="0" w:space="0" w:color="auto"/>
      </w:divBdr>
      <w:divsChild>
        <w:div w:id="1736272105">
          <w:marLeft w:val="0"/>
          <w:marRight w:val="0"/>
          <w:marTop w:val="0"/>
          <w:marBottom w:val="0"/>
          <w:divBdr>
            <w:top w:val="none" w:sz="0" w:space="0" w:color="auto"/>
            <w:left w:val="none" w:sz="0" w:space="0" w:color="auto"/>
            <w:bottom w:val="none" w:sz="0" w:space="0" w:color="auto"/>
            <w:right w:val="none" w:sz="0" w:space="0" w:color="auto"/>
          </w:divBdr>
          <w:divsChild>
            <w:div w:id="889193371">
              <w:marLeft w:val="0"/>
              <w:marRight w:val="0"/>
              <w:marTop w:val="0"/>
              <w:marBottom w:val="0"/>
              <w:divBdr>
                <w:top w:val="none" w:sz="0" w:space="0" w:color="auto"/>
                <w:left w:val="none" w:sz="0" w:space="0" w:color="auto"/>
                <w:bottom w:val="none" w:sz="0" w:space="0" w:color="auto"/>
                <w:right w:val="none" w:sz="0" w:space="0" w:color="auto"/>
              </w:divBdr>
              <w:divsChild>
                <w:div w:id="1675184855">
                  <w:marLeft w:val="0"/>
                  <w:marRight w:val="0"/>
                  <w:marTop w:val="0"/>
                  <w:marBottom w:val="0"/>
                  <w:divBdr>
                    <w:top w:val="none" w:sz="0" w:space="0" w:color="auto"/>
                    <w:left w:val="none" w:sz="0" w:space="0" w:color="auto"/>
                    <w:bottom w:val="none" w:sz="0" w:space="0" w:color="auto"/>
                    <w:right w:val="none" w:sz="0" w:space="0" w:color="auto"/>
                  </w:divBdr>
                  <w:divsChild>
                    <w:div w:id="1110977598">
                      <w:marLeft w:val="0"/>
                      <w:marRight w:val="0"/>
                      <w:marTop w:val="0"/>
                      <w:marBottom w:val="0"/>
                      <w:divBdr>
                        <w:top w:val="none" w:sz="0" w:space="0" w:color="auto"/>
                        <w:left w:val="none" w:sz="0" w:space="0" w:color="auto"/>
                        <w:bottom w:val="none" w:sz="0" w:space="0" w:color="auto"/>
                        <w:right w:val="none" w:sz="0" w:space="0" w:color="auto"/>
                      </w:divBdr>
                      <w:divsChild>
                        <w:div w:id="2095125627">
                          <w:marLeft w:val="0"/>
                          <w:marRight w:val="0"/>
                          <w:marTop w:val="0"/>
                          <w:marBottom w:val="0"/>
                          <w:divBdr>
                            <w:top w:val="none" w:sz="0" w:space="0" w:color="auto"/>
                            <w:left w:val="none" w:sz="0" w:space="0" w:color="auto"/>
                            <w:bottom w:val="none" w:sz="0" w:space="0" w:color="auto"/>
                            <w:right w:val="none" w:sz="0" w:space="0" w:color="auto"/>
                          </w:divBdr>
                          <w:divsChild>
                            <w:div w:id="10779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587600">
      <w:bodyDiv w:val="1"/>
      <w:marLeft w:val="0"/>
      <w:marRight w:val="0"/>
      <w:marTop w:val="0"/>
      <w:marBottom w:val="0"/>
      <w:divBdr>
        <w:top w:val="none" w:sz="0" w:space="0" w:color="auto"/>
        <w:left w:val="none" w:sz="0" w:space="0" w:color="auto"/>
        <w:bottom w:val="none" w:sz="0" w:space="0" w:color="auto"/>
        <w:right w:val="none" w:sz="0" w:space="0" w:color="auto"/>
      </w:divBdr>
    </w:div>
    <w:div w:id="1480266820">
      <w:bodyDiv w:val="1"/>
      <w:marLeft w:val="0"/>
      <w:marRight w:val="0"/>
      <w:marTop w:val="0"/>
      <w:marBottom w:val="0"/>
      <w:divBdr>
        <w:top w:val="none" w:sz="0" w:space="0" w:color="auto"/>
        <w:left w:val="none" w:sz="0" w:space="0" w:color="auto"/>
        <w:bottom w:val="none" w:sz="0" w:space="0" w:color="auto"/>
        <w:right w:val="none" w:sz="0" w:space="0" w:color="auto"/>
      </w:divBdr>
    </w:div>
    <w:div w:id="1484198793">
      <w:bodyDiv w:val="1"/>
      <w:marLeft w:val="0"/>
      <w:marRight w:val="0"/>
      <w:marTop w:val="0"/>
      <w:marBottom w:val="0"/>
      <w:divBdr>
        <w:top w:val="none" w:sz="0" w:space="0" w:color="auto"/>
        <w:left w:val="none" w:sz="0" w:space="0" w:color="auto"/>
        <w:bottom w:val="none" w:sz="0" w:space="0" w:color="auto"/>
        <w:right w:val="none" w:sz="0" w:space="0" w:color="auto"/>
      </w:divBdr>
    </w:div>
    <w:div w:id="1504516662">
      <w:bodyDiv w:val="1"/>
      <w:marLeft w:val="0"/>
      <w:marRight w:val="0"/>
      <w:marTop w:val="0"/>
      <w:marBottom w:val="0"/>
      <w:divBdr>
        <w:top w:val="none" w:sz="0" w:space="0" w:color="auto"/>
        <w:left w:val="none" w:sz="0" w:space="0" w:color="auto"/>
        <w:bottom w:val="none" w:sz="0" w:space="0" w:color="auto"/>
        <w:right w:val="none" w:sz="0" w:space="0" w:color="auto"/>
      </w:divBdr>
    </w:div>
    <w:div w:id="1588073267">
      <w:bodyDiv w:val="1"/>
      <w:marLeft w:val="0"/>
      <w:marRight w:val="0"/>
      <w:marTop w:val="0"/>
      <w:marBottom w:val="0"/>
      <w:divBdr>
        <w:top w:val="none" w:sz="0" w:space="0" w:color="auto"/>
        <w:left w:val="none" w:sz="0" w:space="0" w:color="auto"/>
        <w:bottom w:val="none" w:sz="0" w:space="0" w:color="auto"/>
        <w:right w:val="none" w:sz="0" w:space="0" w:color="auto"/>
      </w:divBdr>
    </w:div>
    <w:div w:id="1588808262">
      <w:bodyDiv w:val="1"/>
      <w:marLeft w:val="0"/>
      <w:marRight w:val="0"/>
      <w:marTop w:val="0"/>
      <w:marBottom w:val="0"/>
      <w:divBdr>
        <w:top w:val="none" w:sz="0" w:space="0" w:color="auto"/>
        <w:left w:val="none" w:sz="0" w:space="0" w:color="auto"/>
        <w:bottom w:val="none" w:sz="0" w:space="0" w:color="auto"/>
        <w:right w:val="none" w:sz="0" w:space="0" w:color="auto"/>
      </w:divBdr>
    </w:div>
    <w:div w:id="1598250953">
      <w:bodyDiv w:val="1"/>
      <w:marLeft w:val="0"/>
      <w:marRight w:val="0"/>
      <w:marTop w:val="0"/>
      <w:marBottom w:val="0"/>
      <w:divBdr>
        <w:top w:val="none" w:sz="0" w:space="0" w:color="auto"/>
        <w:left w:val="none" w:sz="0" w:space="0" w:color="auto"/>
        <w:bottom w:val="none" w:sz="0" w:space="0" w:color="auto"/>
        <w:right w:val="none" w:sz="0" w:space="0" w:color="auto"/>
      </w:divBdr>
    </w:div>
    <w:div w:id="1723751684">
      <w:bodyDiv w:val="1"/>
      <w:marLeft w:val="0"/>
      <w:marRight w:val="0"/>
      <w:marTop w:val="0"/>
      <w:marBottom w:val="0"/>
      <w:divBdr>
        <w:top w:val="none" w:sz="0" w:space="0" w:color="auto"/>
        <w:left w:val="none" w:sz="0" w:space="0" w:color="auto"/>
        <w:bottom w:val="none" w:sz="0" w:space="0" w:color="auto"/>
        <w:right w:val="none" w:sz="0" w:space="0" w:color="auto"/>
      </w:divBdr>
    </w:div>
    <w:div w:id="1809587697">
      <w:bodyDiv w:val="1"/>
      <w:marLeft w:val="0"/>
      <w:marRight w:val="0"/>
      <w:marTop w:val="0"/>
      <w:marBottom w:val="0"/>
      <w:divBdr>
        <w:top w:val="none" w:sz="0" w:space="0" w:color="auto"/>
        <w:left w:val="none" w:sz="0" w:space="0" w:color="auto"/>
        <w:bottom w:val="none" w:sz="0" w:space="0" w:color="auto"/>
        <w:right w:val="none" w:sz="0" w:space="0" w:color="auto"/>
      </w:divBdr>
    </w:div>
    <w:div w:id="2049332856">
      <w:bodyDiv w:val="1"/>
      <w:marLeft w:val="0"/>
      <w:marRight w:val="0"/>
      <w:marTop w:val="0"/>
      <w:marBottom w:val="0"/>
      <w:divBdr>
        <w:top w:val="none" w:sz="0" w:space="0" w:color="auto"/>
        <w:left w:val="none" w:sz="0" w:space="0" w:color="auto"/>
        <w:bottom w:val="none" w:sz="0" w:space="0" w:color="auto"/>
        <w:right w:val="none" w:sz="0" w:space="0" w:color="auto"/>
      </w:divBdr>
    </w:div>
    <w:div w:id="20918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4</Pages>
  <Words>1307</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Frasin</dc:creator>
  <cp:lastModifiedBy>APIA RO</cp:lastModifiedBy>
  <cp:revision>340</cp:revision>
  <cp:lastPrinted>2023-05-18T12:42:00Z</cp:lastPrinted>
  <dcterms:created xsi:type="dcterms:W3CDTF">2025-01-10T08:02:00Z</dcterms:created>
  <dcterms:modified xsi:type="dcterms:W3CDTF">2025-09-05T10:03:00Z</dcterms:modified>
</cp:coreProperties>
</file>