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F6C6D" w14:textId="77777777" w:rsidR="004C1092" w:rsidRPr="009B381E" w:rsidRDefault="004C1092" w:rsidP="00983417">
      <w:pPr>
        <w:pStyle w:val="Title"/>
        <w:spacing w:after="120" w:line="240" w:lineRule="auto"/>
        <w:jc w:val="left"/>
        <w:rPr>
          <w:sz w:val="24"/>
          <w:szCs w:val="24"/>
        </w:rPr>
      </w:pPr>
    </w:p>
    <w:p w14:paraId="39FCDFA5" w14:textId="7F67D25F" w:rsidR="0064777F" w:rsidRDefault="0064777F" w:rsidP="008838DB">
      <w:pPr>
        <w:pStyle w:val="Title"/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NOTĂ DE FUNDAMENTARE</w:t>
      </w:r>
    </w:p>
    <w:p w14:paraId="0C8A53AB" w14:textId="77777777" w:rsidR="00C22955" w:rsidRDefault="00C22955" w:rsidP="008838DB">
      <w:pPr>
        <w:pStyle w:val="Title"/>
        <w:spacing w:after="120" w:line="240" w:lineRule="auto"/>
        <w:rPr>
          <w:sz w:val="24"/>
          <w:szCs w:val="24"/>
        </w:rPr>
      </w:pPr>
    </w:p>
    <w:p w14:paraId="3B23A0A8" w14:textId="77777777" w:rsidR="00C22955" w:rsidRPr="00223491" w:rsidRDefault="00C22955" w:rsidP="009E2B37">
      <w:pPr>
        <w:pStyle w:val="Title"/>
        <w:spacing w:after="120" w:line="240" w:lineRule="auto"/>
        <w:rPr>
          <w:sz w:val="24"/>
          <w:szCs w:val="24"/>
        </w:rPr>
      </w:pPr>
      <w:r w:rsidRPr="00223491">
        <w:rPr>
          <w:sz w:val="24"/>
          <w:szCs w:val="24"/>
        </w:rPr>
        <w:t>Secțiunea 1</w:t>
      </w:r>
    </w:p>
    <w:p w14:paraId="78C75447" w14:textId="19CC8920" w:rsidR="00223491" w:rsidRDefault="00C22955" w:rsidP="009E2B37">
      <w:pPr>
        <w:pStyle w:val="Title"/>
        <w:spacing w:after="120" w:line="240" w:lineRule="auto"/>
        <w:rPr>
          <w:sz w:val="24"/>
          <w:szCs w:val="24"/>
        </w:rPr>
      </w:pPr>
      <w:r w:rsidRPr="00223491">
        <w:rPr>
          <w:sz w:val="24"/>
          <w:szCs w:val="24"/>
        </w:rPr>
        <w:t>Titlul proiectului de act normativ</w:t>
      </w:r>
    </w:p>
    <w:p w14:paraId="064C1BC4" w14:textId="77777777" w:rsidR="00351853" w:rsidRPr="009B381E" w:rsidRDefault="00351853" w:rsidP="000B1192">
      <w:pPr>
        <w:pStyle w:val="Title"/>
        <w:spacing w:after="120" w:line="240" w:lineRule="auto"/>
        <w:ind w:firstLine="720"/>
        <w:rPr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20BE3" w:rsidRPr="009B381E" w14:paraId="117C71DD" w14:textId="77777777" w:rsidTr="00DA6912">
        <w:tc>
          <w:tcPr>
            <w:tcW w:w="10490" w:type="dxa"/>
          </w:tcPr>
          <w:p w14:paraId="1158630E" w14:textId="77777777" w:rsidR="000B1192" w:rsidRDefault="000B1192" w:rsidP="000B1192">
            <w:pPr>
              <w:widowControl w:val="0"/>
              <w:spacing w:after="120"/>
              <w:jc w:val="center"/>
              <w:rPr>
                <w:b/>
                <w:bCs/>
              </w:rPr>
            </w:pPr>
          </w:p>
          <w:p w14:paraId="71C5BEF5" w14:textId="77777777" w:rsidR="00DA6912" w:rsidRPr="00DA6912" w:rsidRDefault="00F63717" w:rsidP="00DA6912">
            <w:pPr>
              <w:spacing w:line="276" w:lineRule="auto"/>
              <w:ind w:right="-334"/>
              <w:jc w:val="center"/>
              <w:rPr>
                <w:sz w:val="28"/>
                <w:szCs w:val="28"/>
              </w:rPr>
            </w:pPr>
            <w:r w:rsidRPr="00964CC4">
              <w:rPr>
                <w:b/>
                <w:bCs/>
              </w:rPr>
              <w:t xml:space="preserve">Hotărâre a Guvernului </w:t>
            </w:r>
            <w:r w:rsidR="00DA6912" w:rsidRPr="00DA6912">
              <w:rPr>
                <w:b/>
                <w:bCs/>
              </w:rPr>
              <w:t>privind modificarea Hotărârii Guvernului nr. 29/2018 pentru stabilirea criteriilor pe baza cărora se aplică majorarea prevăzută la art. 17 alin. (1) - (2</w:t>
            </w:r>
            <w:r w:rsidR="00DA6912" w:rsidRPr="00DA6912">
              <w:rPr>
                <w:b/>
                <w:bCs/>
                <w:vertAlign w:val="superscript"/>
              </w:rPr>
              <w:t>1</w:t>
            </w:r>
            <w:r w:rsidR="00DA6912" w:rsidRPr="00DA6912">
              <w:rPr>
                <w:b/>
                <w:bCs/>
              </w:rPr>
              <w:t>) din Legea-cadru nr. 153/2017 privind salarizarea personalului plătit din fonduri publice</w:t>
            </w:r>
          </w:p>
          <w:p w14:paraId="338F09EC" w14:textId="4A3BAF6B" w:rsidR="00670C79" w:rsidRPr="009B381E" w:rsidRDefault="00670C79" w:rsidP="000B1192">
            <w:pPr>
              <w:widowControl w:val="0"/>
              <w:spacing w:after="120"/>
              <w:jc w:val="center"/>
              <w:rPr>
                <w:b/>
                <w:lang w:eastAsia="ro-RO"/>
              </w:rPr>
            </w:pPr>
          </w:p>
        </w:tc>
      </w:tr>
    </w:tbl>
    <w:p w14:paraId="1A493A3E" w14:textId="77777777" w:rsidR="00351853" w:rsidRDefault="00351853" w:rsidP="00AB65BD">
      <w:pPr>
        <w:spacing w:after="120"/>
        <w:ind w:firstLine="720"/>
        <w:jc w:val="center"/>
        <w:rPr>
          <w:b/>
          <w:lang w:eastAsia="ro-RO"/>
        </w:rPr>
      </w:pPr>
    </w:p>
    <w:p w14:paraId="33C1CD30" w14:textId="7BD0A10D" w:rsidR="00223491" w:rsidRDefault="00C5468F" w:rsidP="00AB65BD">
      <w:pPr>
        <w:spacing w:after="120"/>
        <w:ind w:firstLine="720"/>
        <w:jc w:val="center"/>
        <w:rPr>
          <w:b/>
          <w:lang w:eastAsia="ro-RO"/>
        </w:rPr>
      </w:pPr>
      <w:r w:rsidRPr="009B381E">
        <w:rPr>
          <w:b/>
          <w:lang w:eastAsia="ro-RO"/>
        </w:rPr>
        <w:t>Secțiunea</w:t>
      </w:r>
      <w:r w:rsidR="00670C79" w:rsidRPr="009B381E">
        <w:rPr>
          <w:b/>
          <w:lang w:eastAsia="ro-RO"/>
        </w:rPr>
        <w:t xml:space="preserve"> a 2-a</w:t>
      </w:r>
    </w:p>
    <w:p w14:paraId="23181ACA" w14:textId="0DBF704E" w:rsidR="00CB78C4" w:rsidRDefault="00670C79" w:rsidP="00AB65BD">
      <w:pPr>
        <w:spacing w:after="120"/>
        <w:ind w:firstLine="720"/>
        <w:jc w:val="center"/>
        <w:rPr>
          <w:b/>
          <w:lang w:eastAsia="ro-RO"/>
        </w:rPr>
      </w:pPr>
      <w:r w:rsidRPr="009B381E">
        <w:rPr>
          <w:b/>
          <w:lang w:eastAsia="ro-RO"/>
        </w:rPr>
        <w:t>Motivul emiterii actului normativ</w:t>
      </w:r>
    </w:p>
    <w:p w14:paraId="0C976D49" w14:textId="77777777" w:rsidR="00EB7FF7" w:rsidRDefault="00EB7FF7" w:rsidP="00AB65BD">
      <w:pPr>
        <w:spacing w:after="120"/>
        <w:ind w:firstLine="720"/>
        <w:jc w:val="center"/>
        <w:rPr>
          <w:b/>
          <w:lang w:eastAsia="ro-RO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223491" w:rsidRPr="00F73219" w14:paraId="47D7FD1D" w14:textId="77777777" w:rsidTr="009B4A5F">
        <w:trPr>
          <w:trHeight w:val="841"/>
        </w:trPr>
        <w:tc>
          <w:tcPr>
            <w:tcW w:w="10490" w:type="dxa"/>
          </w:tcPr>
          <w:p w14:paraId="2D7A8465" w14:textId="77777777" w:rsidR="0007694E" w:rsidRDefault="0007694E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lang w:eastAsia="ro-RO"/>
              </w:rPr>
            </w:pPr>
          </w:p>
          <w:p w14:paraId="083EB0F1" w14:textId="6EA43B0E" w:rsidR="008441CD" w:rsidRDefault="00223491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lang w:eastAsia="ro-RO"/>
              </w:rPr>
            </w:pPr>
            <w:r w:rsidRPr="00223491">
              <w:rPr>
                <w:b/>
                <w:lang w:eastAsia="ro-RO"/>
              </w:rPr>
              <w:t>2.1 Sursa proiectului de act normativ</w:t>
            </w:r>
            <w:r w:rsidRPr="00223491">
              <w:rPr>
                <w:lang w:eastAsia="ro-RO"/>
              </w:rPr>
              <w:t xml:space="preserve"> </w:t>
            </w:r>
          </w:p>
          <w:p w14:paraId="14333FDC" w14:textId="7B5E6915" w:rsidR="00DA6912" w:rsidRDefault="006A00E7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lang w:eastAsia="ro-RO"/>
              </w:rPr>
            </w:pPr>
            <w:r w:rsidRPr="006A00E7">
              <w:t xml:space="preserve">Proiectul de hotărâre este promovat de Ministerul Investițiilor şi Proiectelor Europene </w:t>
            </w:r>
            <w:r w:rsidR="00667C6B">
              <w:t>având în vedere</w:t>
            </w:r>
            <w:r w:rsidRPr="006A00E7">
              <w:t xml:space="preserve"> prevederil</w:t>
            </w:r>
            <w:r w:rsidR="00667C6B">
              <w:t>e</w:t>
            </w:r>
            <w:r w:rsidRPr="006A00E7">
              <w:t xml:space="preserve"> art XV din Legea nr. 141/2025 privind unele măsuri fiscal-bugetare.</w:t>
            </w:r>
          </w:p>
          <w:p w14:paraId="777690A7" w14:textId="38A1046B" w:rsidR="00223491" w:rsidRPr="00223491" w:rsidRDefault="00223491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lang w:eastAsia="ro-RO"/>
              </w:rPr>
            </w:pPr>
            <w:r w:rsidRPr="00223491">
              <w:rPr>
                <w:b/>
                <w:lang w:eastAsia="ro-RO"/>
              </w:rPr>
              <w:t>2.2 Descrierea situației actuale</w:t>
            </w:r>
          </w:p>
          <w:p w14:paraId="5384AC2F" w14:textId="309E9393" w:rsidR="009B4A5F" w:rsidRDefault="009B4A5F" w:rsidP="00F63717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 xml:space="preserve">Prin </w:t>
            </w:r>
            <w:r w:rsidRPr="009B4A5F">
              <w:t xml:space="preserve">Hotărârea Guvernului nr. 29/2018 </w:t>
            </w:r>
            <w:r>
              <w:t xml:space="preserve">au fost </w:t>
            </w:r>
            <w:r w:rsidRPr="009B4A5F">
              <w:t>stabili</w:t>
            </w:r>
            <w:r>
              <w:t>te</w:t>
            </w:r>
            <w:r w:rsidRPr="009B4A5F">
              <w:t xml:space="preserve"> criteriil</w:t>
            </w:r>
            <w:r>
              <w:t>e</w:t>
            </w:r>
            <w:r w:rsidRPr="009B4A5F">
              <w:t xml:space="preserve"> pe baza cărora se aplică majorarea prevăzută la art. 17 </w:t>
            </w:r>
            <w:r w:rsidR="00DA6912" w:rsidRPr="00DA6912">
              <w:t>alin. (1) - (2</w:t>
            </w:r>
            <w:r w:rsidR="00DA6912" w:rsidRPr="00DA6912">
              <w:rPr>
                <w:vertAlign w:val="superscript"/>
              </w:rPr>
              <w:t>1</w:t>
            </w:r>
            <w:r w:rsidR="00DA6912" w:rsidRPr="00DA6912">
              <w:t xml:space="preserve">) </w:t>
            </w:r>
            <w:r w:rsidRPr="009B4A5F">
              <w:t>din Legea cadru nr. 153/2017 privind salarizarea personalului plătit din fonduri publice</w:t>
            </w:r>
            <w:r>
              <w:t>, pentru au</w:t>
            </w:r>
            <w:r w:rsidR="00793421">
              <w:t>mite categorii de personal</w:t>
            </w:r>
            <w:r w:rsidR="00740C87">
              <w:t>, hotărâre de Guvern</w:t>
            </w:r>
            <w:r w:rsidR="00F214D4">
              <w:t xml:space="preserve"> </w:t>
            </w:r>
            <w:r w:rsidR="00740C87">
              <w:t>care a fost adoptată</w:t>
            </w:r>
            <w:r w:rsidR="00F214D4" w:rsidRPr="00F214D4">
              <w:t xml:space="preserve"> în aplicarea Legii nr. 490/2004 privind stimularea financiară a personalului care gestionează fonduri comunitare cu modificările şi completările ulterioare</w:t>
            </w:r>
            <w:r w:rsidR="00F214D4">
              <w:t>.</w:t>
            </w:r>
          </w:p>
          <w:p w14:paraId="3F47A207" w14:textId="21D12DEF" w:rsidR="006A00E7" w:rsidRDefault="006A00E7" w:rsidP="006A00E7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În prezent, în urma procesului de evaluare a activităţii/performanţelor profesionale individuale a/ale personalului care beneficiază de majorare salarială în baza Hotărârii Guvernului nr. 29/2018, salariul de bază, solda de funcţie/salariul de funcţie, indemnizaţia de încadrare era majorat/ă până la următoarea evaluare, după cum urmează:</w:t>
            </w:r>
          </w:p>
          <w:p w14:paraId="3A1FCD6C" w14:textId="77777777" w:rsidR="006A00E7" w:rsidRDefault="006A00E7" w:rsidP="006A00E7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  a) în cazul obţinerii calificativului «foarte bine», majorarea salariului de bază, a soldei de funcţie/salariului de funcţie sau a indemnizaţiei de încadrare, după caz, cu 50%;</w:t>
            </w:r>
          </w:p>
          <w:p w14:paraId="71186AC5" w14:textId="77777777" w:rsidR="006A00E7" w:rsidRDefault="006A00E7" w:rsidP="006A00E7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  b) în cazul obţinerii calificativului «bine», majorarea salariului de bază, a soldei de funcţie/salariului de funcţie sau a indemnizaţiei de încadrare, după caz, cu 25%;</w:t>
            </w:r>
          </w:p>
          <w:p w14:paraId="38149C4F" w14:textId="50C4ECCB" w:rsidR="006A00E7" w:rsidRDefault="006A00E7" w:rsidP="006A00E7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  c) în cazul obţinerii calificativelor «satisfăcător» sau «nesatisfăcător» nu se aplică majorare salarială</w:t>
            </w:r>
          </w:p>
          <w:p w14:paraId="1BFF7320" w14:textId="1C9EBA60" w:rsidR="005F6554" w:rsidRDefault="00317BA3" w:rsidP="00DA6912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t>Prin p</w:t>
            </w:r>
            <w:r w:rsidR="005F6554">
              <w:t>r</w:t>
            </w:r>
            <w:r w:rsidR="00667C6B">
              <w:t>evederile</w:t>
            </w:r>
            <w:r w:rsidR="005F6554">
              <w:t xml:space="preserve"> </w:t>
            </w:r>
            <w:r w:rsidR="00DA6912">
              <w:t>art</w:t>
            </w:r>
            <w:r w:rsidR="00667C6B">
              <w:t>.</w:t>
            </w:r>
            <w:r w:rsidR="00DA6912">
              <w:t xml:space="preserve"> XV din </w:t>
            </w:r>
            <w:r w:rsidR="00DA6912" w:rsidRPr="00DA6912">
              <w:t>Legea nr. 141/2025 privind unele măsuri fiscal-bugetare</w:t>
            </w:r>
            <w:r w:rsidR="008E602A">
              <w:t xml:space="preserve">, </w:t>
            </w:r>
            <w:r w:rsidR="00DA6912">
              <w:t>alineatele (1)-(2</w:t>
            </w:r>
            <w:r w:rsidR="00DA6912" w:rsidRPr="00DA6912">
              <w:rPr>
                <w:vertAlign w:val="superscript"/>
              </w:rPr>
              <w:t>1</w:t>
            </w:r>
            <w:r w:rsidR="00DA6912">
              <w:t xml:space="preserve">) ale </w:t>
            </w:r>
            <w:r w:rsidR="008E602A">
              <w:t>art.</w:t>
            </w:r>
            <w:r w:rsidR="000B1192">
              <w:t xml:space="preserve"> </w:t>
            </w:r>
            <w:r w:rsidR="008E602A">
              <w:t xml:space="preserve">17 </w:t>
            </w:r>
            <w:r w:rsidR="0020658F" w:rsidRPr="0020658F">
              <w:t xml:space="preserve">din Legea cadru nr. 153/2017 </w:t>
            </w:r>
            <w:r w:rsidR="008E602A">
              <w:t xml:space="preserve">se modifică </w:t>
            </w:r>
            <w:r w:rsidR="0020658F">
              <w:t xml:space="preserve">procentul </w:t>
            </w:r>
            <w:r w:rsidR="008E602A">
              <w:t>major</w:t>
            </w:r>
            <w:r w:rsidR="0020658F">
              <w:t>ării</w:t>
            </w:r>
            <w:r w:rsidR="008E602A">
              <w:t xml:space="preserve"> salarial</w:t>
            </w:r>
            <w:r w:rsidR="0020658F">
              <w:t>e</w:t>
            </w:r>
            <w:r w:rsidR="008E602A">
              <w:t xml:space="preserve"> </w:t>
            </w:r>
            <w:r w:rsidR="0020658F">
              <w:t xml:space="preserve">acordată </w:t>
            </w:r>
            <w:r w:rsidR="008E602A">
              <w:t xml:space="preserve"> personalului care gestionează fonduri comunitare majorare salarială </w:t>
            </w:r>
            <w:r w:rsidR="0020658F">
              <w:t xml:space="preserve">de la 50% </w:t>
            </w:r>
            <w:r w:rsidR="008E602A">
              <w:t xml:space="preserve">la </w:t>
            </w:r>
            <w:r w:rsidR="00DA6912">
              <w:t>4</w:t>
            </w:r>
            <w:r w:rsidR="008E602A">
              <w:t>0%</w:t>
            </w:r>
            <w:r w:rsidR="00773E38">
              <w:t>.</w:t>
            </w:r>
            <w:r w:rsidR="0020658F">
              <w:t xml:space="preserve"> </w:t>
            </w:r>
          </w:p>
          <w:p w14:paraId="6D096D68" w14:textId="77777777" w:rsidR="009E2B37" w:rsidRDefault="009E2B37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lang w:eastAsia="ro-RO"/>
              </w:rPr>
            </w:pPr>
          </w:p>
          <w:p w14:paraId="4238D1EB" w14:textId="0E6C551A" w:rsidR="00223491" w:rsidRDefault="00223491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lang w:eastAsia="ro-RO"/>
              </w:rPr>
            </w:pPr>
            <w:r w:rsidRPr="00223491">
              <w:rPr>
                <w:b/>
                <w:lang w:eastAsia="ro-RO"/>
              </w:rPr>
              <w:t>2.3 Schimbări preconizate</w:t>
            </w:r>
          </w:p>
          <w:p w14:paraId="2F6D2759" w14:textId="1C0452EF" w:rsidR="00C26219" w:rsidRPr="00690C45" w:rsidRDefault="00786250" w:rsidP="008838DB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lang w:val="en-US" w:eastAsia="ro-RO"/>
              </w:rPr>
            </w:pPr>
            <w:r>
              <w:rPr>
                <w:color w:val="000000" w:themeColor="text1"/>
              </w:rPr>
              <w:t xml:space="preserve">În </w:t>
            </w:r>
            <w:r w:rsidRPr="002851B7">
              <w:t xml:space="preserve">aplicarea prevederilor </w:t>
            </w:r>
            <w:r w:rsidRPr="008E65E3">
              <w:t>art. XV pct. 4 din Legea nr. 141/2025 privind unele măsuri fiscal-bugetare</w:t>
            </w:r>
            <w:r>
              <w:t xml:space="preserve">, prin prezentul </w:t>
            </w:r>
            <w:r>
              <w:rPr>
                <w:bCs/>
                <w:lang w:eastAsia="ro-RO"/>
              </w:rPr>
              <w:t>p</w:t>
            </w:r>
            <w:r w:rsidR="00C26219" w:rsidRPr="00C26219">
              <w:rPr>
                <w:bCs/>
                <w:lang w:eastAsia="ro-RO"/>
              </w:rPr>
              <w:t xml:space="preserve">roiect de act normativ </w:t>
            </w:r>
            <w:r>
              <w:rPr>
                <w:bCs/>
                <w:lang w:eastAsia="ro-RO"/>
              </w:rPr>
              <w:t xml:space="preserve">se </w:t>
            </w:r>
            <w:r w:rsidR="00C26219">
              <w:rPr>
                <w:bCs/>
                <w:lang w:eastAsia="ro-RO"/>
              </w:rPr>
              <w:t xml:space="preserve">prevede </w:t>
            </w:r>
            <w:r w:rsidR="00690C45">
              <w:rPr>
                <w:bCs/>
                <w:lang w:eastAsia="ro-RO"/>
              </w:rPr>
              <w:t>modificarea prevederil</w:t>
            </w:r>
            <w:r w:rsidR="00A72E24">
              <w:rPr>
                <w:bCs/>
                <w:lang w:eastAsia="ro-RO"/>
              </w:rPr>
              <w:t>or a</w:t>
            </w:r>
            <w:r w:rsidR="00690C45">
              <w:rPr>
                <w:bCs/>
                <w:lang w:eastAsia="ro-RO"/>
              </w:rPr>
              <w:t xml:space="preserve">rt. </w:t>
            </w:r>
            <w:r w:rsidR="00317BA3">
              <w:rPr>
                <w:bCs/>
                <w:lang w:eastAsia="ro-RO"/>
              </w:rPr>
              <w:t>7</w:t>
            </w:r>
            <w:r w:rsidR="00690C45">
              <w:rPr>
                <w:bCs/>
                <w:lang w:eastAsia="ro-RO"/>
              </w:rPr>
              <w:t xml:space="preserve"> alin. (1) și ale art</w:t>
            </w:r>
            <w:r w:rsidR="00857E62">
              <w:rPr>
                <w:bCs/>
                <w:lang w:eastAsia="ro-RO"/>
              </w:rPr>
              <w:t>.</w:t>
            </w:r>
            <w:r w:rsidR="00690C45">
              <w:rPr>
                <w:bCs/>
                <w:lang w:eastAsia="ro-RO"/>
              </w:rPr>
              <w:t xml:space="preserve"> 11 din </w:t>
            </w:r>
            <w:r w:rsidR="00690C45" w:rsidRPr="00690C45">
              <w:rPr>
                <w:bCs/>
                <w:lang w:eastAsia="ro-RO"/>
              </w:rPr>
              <w:t>Hotărâr</w:t>
            </w:r>
            <w:r w:rsidR="00690C45">
              <w:rPr>
                <w:bCs/>
                <w:lang w:eastAsia="ro-RO"/>
              </w:rPr>
              <w:t>ea</w:t>
            </w:r>
            <w:r w:rsidR="00690C45" w:rsidRPr="00690C45">
              <w:rPr>
                <w:bCs/>
                <w:lang w:eastAsia="ro-RO"/>
              </w:rPr>
              <w:t xml:space="preserve"> Guvernului nr. 29/2018</w:t>
            </w:r>
            <w:r w:rsidR="00690C45">
              <w:rPr>
                <w:bCs/>
                <w:lang w:eastAsia="ro-RO"/>
              </w:rPr>
              <w:t>, astfel</w:t>
            </w:r>
            <w:r w:rsidR="00690C45">
              <w:rPr>
                <w:bCs/>
                <w:lang w:val="en-US" w:eastAsia="ro-RO"/>
              </w:rPr>
              <w:t>:</w:t>
            </w:r>
          </w:p>
          <w:p w14:paraId="0030952E" w14:textId="100D5151" w:rsidR="00C26219" w:rsidRPr="00C26219" w:rsidRDefault="007C73C3" w:rsidP="00C26219">
            <w:pPr>
              <w:numPr>
                <w:ilvl w:val="0"/>
                <w:numId w:val="24"/>
              </w:numPr>
              <w:spacing w:after="120"/>
              <w:jc w:val="both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La a</w:t>
            </w:r>
            <w:r w:rsidR="00C26219" w:rsidRPr="00C26219">
              <w:rPr>
                <w:b/>
                <w:bCs/>
                <w:color w:val="000000" w:themeColor="text1"/>
              </w:rPr>
              <w:t>rticolul 7, alineatul (1)  va avea următorul cuprins:</w:t>
            </w:r>
          </w:p>
          <w:p w14:paraId="62D7C865" w14:textId="77777777" w:rsidR="00C26219" w:rsidRPr="00C26219" w:rsidRDefault="00C26219" w:rsidP="00C26219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C26219">
              <w:rPr>
                <w:bCs/>
                <w:color w:val="000000" w:themeColor="text1"/>
              </w:rPr>
              <w:t>„(1) Pentru personalul care se încadrează în una dintre structurile prevăzute la art. 4 alin. (1) lit. b) şi art. 5 lit. b) se majorează salariul de bază, solda de funcţie/salariul de funcţie, indemnizaţia de încadrare cu 40% până la prima evaluare a activităţii/performanţelor profesionale individuale.”</w:t>
            </w:r>
          </w:p>
          <w:p w14:paraId="0B2FBDDC" w14:textId="69F548FF" w:rsidR="00C26219" w:rsidRPr="00C26219" w:rsidRDefault="00C26219" w:rsidP="00C26219">
            <w:pPr>
              <w:numPr>
                <w:ilvl w:val="0"/>
                <w:numId w:val="24"/>
              </w:numPr>
              <w:spacing w:after="120"/>
              <w:jc w:val="both"/>
              <w:rPr>
                <w:b/>
                <w:color w:val="000000" w:themeColor="text1"/>
              </w:rPr>
            </w:pPr>
            <w:r w:rsidRPr="00C26219">
              <w:rPr>
                <w:b/>
                <w:color w:val="000000" w:themeColor="text1"/>
              </w:rPr>
              <w:t>Articolul 11 va avea următorul cuprins:</w:t>
            </w:r>
          </w:p>
          <w:p w14:paraId="419369C1" w14:textId="77777777" w:rsidR="00C26219" w:rsidRPr="00C26219" w:rsidRDefault="00C26219" w:rsidP="00C26219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C26219">
              <w:rPr>
                <w:bCs/>
                <w:color w:val="000000" w:themeColor="text1"/>
              </w:rPr>
              <w:t>” Art. 11 - În urma procesului de evaluare a activităţii/performanţelor profesionale individuale a/ale personalului prevăzut la art. 4 alin. (1) şi art. 5, în condiţiile legii, salariul de bază, solda de funcţie/salariul de funcţie, indemnizaţia de încadrare va fi majorat/ă până la următoarea evaluare, după cum urmează:</w:t>
            </w:r>
          </w:p>
          <w:p w14:paraId="4F4CD9DE" w14:textId="77777777" w:rsidR="00C26219" w:rsidRPr="00C26219" w:rsidRDefault="00C26219" w:rsidP="00C26219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C26219">
              <w:rPr>
                <w:bCs/>
                <w:color w:val="000000" w:themeColor="text1"/>
              </w:rPr>
              <w:t>  a) în cazul obţinerii calificativului „foarte bine“, majorarea salariului de bază, a soldei de funcţie/salariului de funcţie sau a indemnizaţiei de încadrare, după caz, cu 40%;</w:t>
            </w:r>
          </w:p>
          <w:p w14:paraId="524F01CC" w14:textId="77777777" w:rsidR="00C26219" w:rsidRPr="00C26219" w:rsidRDefault="00C26219" w:rsidP="00C26219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C26219">
              <w:rPr>
                <w:bCs/>
                <w:color w:val="000000" w:themeColor="text1"/>
              </w:rPr>
              <w:t>  b) în cazul obţinerii calificativului „bine“, majorarea salariului de bază, a soldei de funcţie/salariului de funcţie sau a indemnizaţiei de încadrare, după caz, cu 20%;</w:t>
            </w:r>
          </w:p>
          <w:p w14:paraId="45862F79" w14:textId="41E455FF" w:rsidR="007205CF" w:rsidRPr="009E2B37" w:rsidRDefault="00C26219" w:rsidP="008E65E3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C26219">
              <w:rPr>
                <w:bCs/>
                <w:color w:val="000000" w:themeColor="text1"/>
              </w:rPr>
              <w:t>  c) în cazul obţinerii calificativelor „satisfăcător“ sau „nesatisfăcător“ nu se aplică majorare salarială.”</w:t>
            </w:r>
          </w:p>
        </w:tc>
      </w:tr>
      <w:tr w:rsidR="00C22955" w:rsidRPr="00F73219" w14:paraId="67EA8F20" w14:textId="77777777" w:rsidTr="009B4A5F">
        <w:trPr>
          <w:trHeight w:val="841"/>
        </w:trPr>
        <w:tc>
          <w:tcPr>
            <w:tcW w:w="10490" w:type="dxa"/>
          </w:tcPr>
          <w:p w14:paraId="58DA659E" w14:textId="3F340E6C" w:rsidR="00C22955" w:rsidRDefault="00C22955" w:rsidP="00C22955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lang w:eastAsia="en-GB"/>
              </w:rPr>
            </w:pPr>
            <w:r w:rsidRPr="00223491">
              <w:rPr>
                <w:b/>
                <w:bCs/>
                <w:lang w:eastAsia="en-GB"/>
              </w:rPr>
              <w:lastRenderedPageBreak/>
              <w:t>2.4 Alte informații</w:t>
            </w:r>
            <w:r w:rsidR="00DF06A5">
              <w:rPr>
                <w:b/>
                <w:bCs/>
                <w:lang w:eastAsia="en-GB"/>
              </w:rPr>
              <w:t xml:space="preserve"> </w:t>
            </w:r>
          </w:p>
          <w:p w14:paraId="5EE08F69" w14:textId="4D793E28" w:rsidR="00C22955" w:rsidRPr="00223491" w:rsidRDefault="00C22955" w:rsidP="00C22955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lang w:eastAsia="ro-RO"/>
              </w:rPr>
            </w:pPr>
            <w:r>
              <w:rPr>
                <w:bCs/>
                <w:lang w:eastAsia="en-GB"/>
              </w:rPr>
              <w:t>Nu au fost identificate.</w:t>
            </w:r>
          </w:p>
        </w:tc>
      </w:tr>
    </w:tbl>
    <w:p w14:paraId="1DF20695" w14:textId="77777777" w:rsidR="00351853" w:rsidRDefault="00351853" w:rsidP="00351853">
      <w:pPr>
        <w:spacing w:after="120"/>
        <w:rPr>
          <w:b/>
        </w:rPr>
      </w:pPr>
    </w:p>
    <w:p w14:paraId="4794020D" w14:textId="405A80CD" w:rsidR="00223491" w:rsidRDefault="003864F6" w:rsidP="00351853">
      <w:pPr>
        <w:spacing w:after="120"/>
        <w:rPr>
          <w:b/>
        </w:rPr>
      </w:pPr>
      <w:r w:rsidRPr="00F73219">
        <w:rPr>
          <w:b/>
        </w:rPr>
        <w:t>Secțiunea</w:t>
      </w:r>
      <w:r w:rsidR="00670C79" w:rsidRPr="00F73219">
        <w:rPr>
          <w:b/>
        </w:rPr>
        <w:t xml:space="preserve"> a 3-a </w:t>
      </w:r>
    </w:p>
    <w:p w14:paraId="4E4A7A8E" w14:textId="364AB631" w:rsidR="00670C79" w:rsidRDefault="00670C79" w:rsidP="00351853">
      <w:pPr>
        <w:spacing w:after="120"/>
        <w:rPr>
          <w:b/>
        </w:rPr>
      </w:pPr>
      <w:r w:rsidRPr="00F73219">
        <w:rPr>
          <w:b/>
        </w:rPr>
        <w:t xml:space="preserve">Impactul socioeconomic </w:t>
      </w:r>
    </w:p>
    <w:p w14:paraId="77DCE2D9" w14:textId="77777777" w:rsidR="00EB7FF7" w:rsidRDefault="00EB7FF7" w:rsidP="00351853">
      <w:pPr>
        <w:spacing w:after="120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F72189" w:rsidRPr="00F73219" w14:paraId="4F7B7B5A" w14:textId="77777777" w:rsidTr="009B4A5F">
        <w:tc>
          <w:tcPr>
            <w:tcW w:w="10533" w:type="dxa"/>
          </w:tcPr>
          <w:p w14:paraId="612A275C" w14:textId="77777777" w:rsidR="00F72189" w:rsidRPr="00F72189" w:rsidRDefault="00F72189" w:rsidP="009E2B37">
            <w:pPr>
              <w:jc w:val="both"/>
              <w:rPr>
                <w:b/>
              </w:rPr>
            </w:pPr>
            <w:r w:rsidRPr="00F72189">
              <w:rPr>
                <w:b/>
              </w:rPr>
              <w:t>3.1 Descrierea generală a beneficiilor și costurilor estimate ca urmare a intrării în vigoare a actului normativ</w:t>
            </w:r>
          </w:p>
          <w:p w14:paraId="0675353F" w14:textId="77777777" w:rsidR="00F72189" w:rsidRPr="00F72189" w:rsidRDefault="00F72189" w:rsidP="009E2B37">
            <w:pPr>
              <w:jc w:val="both"/>
              <w:rPr>
                <w:b/>
              </w:rPr>
            </w:pPr>
            <w:r w:rsidRPr="00F72189">
              <w:rPr>
                <w:b/>
              </w:rPr>
              <w:t>3.2 Impactul social</w:t>
            </w:r>
          </w:p>
          <w:p w14:paraId="2A7AAB85" w14:textId="77777777" w:rsidR="00875DF2" w:rsidRDefault="00875DF2" w:rsidP="009E2B37">
            <w:pPr>
              <w:jc w:val="both"/>
            </w:pPr>
            <w:r w:rsidRPr="003F6FB9">
              <w:t>Prezentul act normativ nu se referă la acest subiect.</w:t>
            </w:r>
          </w:p>
          <w:p w14:paraId="71A3E7CB" w14:textId="16EF34A0" w:rsidR="00F72189" w:rsidRDefault="00F72189" w:rsidP="009E2B37">
            <w:pPr>
              <w:jc w:val="both"/>
              <w:rPr>
                <w:b/>
              </w:rPr>
            </w:pPr>
            <w:r w:rsidRPr="00F72189">
              <w:rPr>
                <w:b/>
              </w:rPr>
              <w:t xml:space="preserve">3.3. Impactul asupra drepturilor și libertăților fundamentale ale omului </w:t>
            </w:r>
            <w:r w:rsidR="00880A39">
              <w:rPr>
                <w:b/>
              </w:rPr>
              <w:t>-</w:t>
            </w:r>
          </w:p>
          <w:p w14:paraId="139B6ECC" w14:textId="4CF6319F" w:rsidR="00FB45DC" w:rsidRPr="00F72189" w:rsidRDefault="00FD3526" w:rsidP="009E2B37">
            <w:pPr>
              <w:jc w:val="both"/>
              <w:rPr>
                <w:b/>
              </w:rPr>
            </w:pPr>
            <w:r>
              <w:rPr>
                <w:b/>
              </w:rPr>
              <w:t>3.4. Impactul macroeconomic</w:t>
            </w:r>
          </w:p>
          <w:p w14:paraId="164EC38B" w14:textId="4863D9E5" w:rsidR="00F72189" w:rsidRPr="00F72189" w:rsidRDefault="00F72189" w:rsidP="009E2B37">
            <w:pPr>
              <w:jc w:val="both"/>
              <w:rPr>
                <w:b/>
              </w:rPr>
            </w:pPr>
            <w:r w:rsidRPr="00F72189">
              <w:rPr>
                <w:b/>
              </w:rPr>
              <w:t>3.</w:t>
            </w:r>
            <w:r w:rsidR="00FD3526">
              <w:rPr>
                <w:b/>
              </w:rPr>
              <w:t>4</w:t>
            </w:r>
            <w:r w:rsidRPr="00F72189">
              <w:rPr>
                <w:b/>
              </w:rPr>
              <w:t xml:space="preserve">.1 Impactul asupra </w:t>
            </w:r>
            <w:r w:rsidR="00FD3526">
              <w:rPr>
                <w:b/>
              </w:rPr>
              <w:t xml:space="preserve">economiei și asupra </w:t>
            </w:r>
            <w:r w:rsidRPr="00F72189">
              <w:rPr>
                <w:b/>
              </w:rPr>
              <w:t>principalilor indicatori macroeconomici</w:t>
            </w:r>
          </w:p>
          <w:p w14:paraId="647C3284" w14:textId="2AD32893" w:rsidR="00880A39" w:rsidRDefault="00880A39" w:rsidP="009E2B37">
            <w:pPr>
              <w:jc w:val="both"/>
            </w:pPr>
            <w:r w:rsidRPr="003F6FB9">
              <w:t>Prezentul act normativ nu se referă la acest subiect.</w:t>
            </w:r>
          </w:p>
          <w:p w14:paraId="18C98DD5" w14:textId="0BAADE4E" w:rsidR="00F72189" w:rsidRPr="00F72189" w:rsidRDefault="00F72189" w:rsidP="009E2B37">
            <w:pPr>
              <w:jc w:val="both"/>
              <w:rPr>
                <w:b/>
              </w:rPr>
            </w:pPr>
            <w:r w:rsidRPr="00F72189">
              <w:rPr>
                <w:b/>
              </w:rPr>
              <w:t>3.</w:t>
            </w:r>
            <w:r w:rsidR="00FD3526">
              <w:rPr>
                <w:b/>
              </w:rPr>
              <w:t>4</w:t>
            </w:r>
            <w:r w:rsidRPr="00F72189">
              <w:rPr>
                <w:b/>
              </w:rPr>
              <w:t>.2 Impactul asupra mediului concurențial si domeniul</w:t>
            </w:r>
            <w:r w:rsidR="00FB45DC">
              <w:rPr>
                <w:b/>
              </w:rPr>
              <w:t>ui</w:t>
            </w:r>
            <w:r w:rsidRPr="00F72189">
              <w:rPr>
                <w:b/>
              </w:rPr>
              <w:t xml:space="preserve"> ajutoarelor de stat</w:t>
            </w:r>
          </w:p>
          <w:p w14:paraId="51B73509" w14:textId="0ADF1D53" w:rsidR="007578D3" w:rsidRDefault="007578D3" w:rsidP="009E2B37">
            <w:pPr>
              <w:jc w:val="both"/>
            </w:pPr>
            <w:r w:rsidRPr="003F6FB9">
              <w:t>Prezentul act normativ nu se referă la acest subiect.</w:t>
            </w:r>
          </w:p>
          <w:p w14:paraId="5D645A5F" w14:textId="6CB75EA8" w:rsidR="00F72189" w:rsidRPr="00F72189" w:rsidRDefault="00F72189" w:rsidP="009E2B37">
            <w:pPr>
              <w:jc w:val="both"/>
              <w:rPr>
                <w:b/>
              </w:rPr>
            </w:pPr>
            <w:r w:rsidRPr="00F72189">
              <w:rPr>
                <w:b/>
              </w:rPr>
              <w:t>3.</w:t>
            </w:r>
            <w:r w:rsidR="00FD3526">
              <w:rPr>
                <w:b/>
              </w:rPr>
              <w:t>5</w:t>
            </w:r>
            <w:r w:rsidRPr="00F72189">
              <w:rPr>
                <w:b/>
              </w:rPr>
              <w:t>. Impactul asupra mediului de afaceri</w:t>
            </w:r>
          </w:p>
          <w:p w14:paraId="4BB1A700" w14:textId="77777777" w:rsidR="007578D3" w:rsidRDefault="007578D3" w:rsidP="009E2B37">
            <w:pPr>
              <w:jc w:val="both"/>
            </w:pPr>
            <w:r w:rsidRPr="003F6FB9">
              <w:t>Prezentul act normativ nu se referă la acest subiect.</w:t>
            </w:r>
          </w:p>
          <w:p w14:paraId="6BA44179" w14:textId="1333F7AF" w:rsidR="00FD3526" w:rsidRDefault="00FD3526" w:rsidP="009E2B37">
            <w:pPr>
              <w:jc w:val="both"/>
              <w:rPr>
                <w:b/>
              </w:rPr>
            </w:pPr>
            <w:r w:rsidRPr="00FD3526">
              <w:rPr>
                <w:b/>
              </w:rPr>
              <w:t>3.</w:t>
            </w:r>
            <w:r>
              <w:rPr>
                <w:b/>
              </w:rPr>
              <w:t>6</w:t>
            </w:r>
            <w:r w:rsidRPr="00FD3526">
              <w:rPr>
                <w:b/>
              </w:rPr>
              <w:t xml:space="preserve"> Impactul asupra mediului înconjurător</w:t>
            </w:r>
          </w:p>
          <w:p w14:paraId="07ADB60B" w14:textId="77777777" w:rsidR="007578D3" w:rsidRDefault="007578D3" w:rsidP="009E2B37">
            <w:pPr>
              <w:jc w:val="both"/>
            </w:pPr>
            <w:r w:rsidRPr="003F6FB9">
              <w:t>Prezentul act normativ nu se referă la acest subiect.</w:t>
            </w:r>
          </w:p>
          <w:p w14:paraId="55CFDA7E" w14:textId="141DA202" w:rsidR="00FD3526" w:rsidRPr="00FD3526" w:rsidRDefault="00FD3526" w:rsidP="009E2B37">
            <w:pPr>
              <w:jc w:val="both"/>
              <w:rPr>
                <w:b/>
                <w:bCs/>
              </w:rPr>
            </w:pPr>
            <w:r w:rsidRPr="00FD3526">
              <w:rPr>
                <w:b/>
                <w:bCs/>
              </w:rPr>
              <w:t>3.7. Evaluarea costurilor și beneficiilor din perspectiva inovării și digitalizării</w:t>
            </w:r>
            <w:r w:rsidR="00880A39">
              <w:rPr>
                <w:b/>
                <w:bCs/>
              </w:rPr>
              <w:t xml:space="preserve"> -</w:t>
            </w:r>
          </w:p>
          <w:p w14:paraId="3CFEFC6B" w14:textId="2A098463" w:rsidR="00FD3526" w:rsidRPr="00FD3526" w:rsidRDefault="00FD3526" w:rsidP="009E2B37">
            <w:pPr>
              <w:jc w:val="both"/>
              <w:rPr>
                <w:b/>
                <w:bCs/>
              </w:rPr>
            </w:pPr>
            <w:r w:rsidRPr="00FD3526">
              <w:rPr>
                <w:b/>
                <w:bCs/>
              </w:rPr>
              <w:t>3.8 Evaluarea costurilor și beneficiilor din perspectiva dezvoltării durabile</w:t>
            </w:r>
            <w:r w:rsidR="00880A39">
              <w:rPr>
                <w:b/>
                <w:bCs/>
              </w:rPr>
              <w:t xml:space="preserve"> -</w:t>
            </w:r>
          </w:p>
          <w:p w14:paraId="31CF2271" w14:textId="00209344" w:rsidR="00FD3526" w:rsidRDefault="00FD3526" w:rsidP="009E2B37">
            <w:pPr>
              <w:jc w:val="both"/>
              <w:rPr>
                <w:b/>
                <w:bCs/>
              </w:rPr>
            </w:pPr>
            <w:r w:rsidRPr="00FD3526">
              <w:rPr>
                <w:b/>
                <w:bCs/>
              </w:rPr>
              <w:t>3.9. Alte informații</w:t>
            </w:r>
          </w:p>
          <w:p w14:paraId="1749D952" w14:textId="77777777" w:rsidR="00587CCB" w:rsidRDefault="00587CCB" w:rsidP="009E2B37">
            <w:pPr>
              <w:jc w:val="both"/>
            </w:pPr>
            <w:r w:rsidRPr="003F6FB9">
              <w:t>Nu au fost identificate.</w:t>
            </w:r>
          </w:p>
          <w:p w14:paraId="041FB550" w14:textId="72692822" w:rsidR="00EB7FF7" w:rsidRPr="00FD3526" w:rsidRDefault="00EB7FF7" w:rsidP="009E2B37">
            <w:pPr>
              <w:jc w:val="both"/>
              <w:rPr>
                <w:b/>
                <w:bCs/>
              </w:rPr>
            </w:pPr>
          </w:p>
        </w:tc>
      </w:tr>
    </w:tbl>
    <w:p w14:paraId="1CD2B08D" w14:textId="77777777" w:rsidR="00351853" w:rsidRDefault="00351853" w:rsidP="00351853">
      <w:pPr>
        <w:spacing w:after="120"/>
        <w:jc w:val="both"/>
        <w:rPr>
          <w:b/>
        </w:rPr>
      </w:pPr>
    </w:p>
    <w:p w14:paraId="20A2BC5C" w14:textId="77777777" w:rsidR="005A13C5" w:rsidRDefault="00670C79" w:rsidP="00351853">
      <w:pPr>
        <w:spacing w:after="120"/>
        <w:jc w:val="both"/>
        <w:rPr>
          <w:b/>
        </w:rPr>
      </w:pPr>
      <w:r w:rsidRPr="00F73219">
        <w:rPr>
          <w:b/>
        </w:rPr>
        <w:t xml:space="preserve">Secţiunea a 4-a </w:t>
      </w:r>
    </w:p>
    <w:p w14:paraId="34AED0C5" w14:textId="6B3C49DE" w:rsidR="00670C79" w:rsidRDefault="00670C79" w:rsidP="00351853">
      <w:pPr>
        <w:spacing w:after="120"/>
        <w:jc w:val="both"/>
        <w:rPr>
          <w:b/>
        </w:rPr>
      </w:pPr>
      <w:r w:rsidRPr="00F73219">
        <w:rPr>
          <w:b/>
        </w:rPr>
        <w:t xml:space="preserve">Impactul financiar asupra bugetului </w:t>
      </w:r>
      <w:r w:rsidR="0064777F">
        <w:rPr>
          <w:b/>
        </w:rPr>
        <w:t>general</w:t>
      </w:r>
      <w:r w:rsidRPr="00F73219">
        <w:rPr>
          <w:b/>
        </w:rPr>
        <w:t xml:space="preserve"> consolidat atât pe termen scurt, pentru</w:t>
      </w:r>
      <w:r w:rsidR="00DB71DB" w:rsidRPr="00F73219">
        <w:rPr>
          <w:b/>
        </w:rPr>
        <w:t xml:space="preserve"> </w:t>
      </w:r>
      <w:r w:rsidRPr="00F73219">
        <w:rPr>
          <w:b/>
        </w:rPr>
        <w:t>anul curent, cât şi pe termen lung (pe 5 ani)</w:t>
      </w:r>
      <w:r w:rsidR="003034B1">
        <w:rPr>
          <w:b/>
        </w:rPr>
        <w:t>, inclusiv informații cu privire la cheltuieli și venituri</w:t>
      </w:r>
      <w:r w:rsidR="0064777F">
        <w:rPr>
          <w:b/>
        </w:rPr>
        <w:t xml:space="preserve"> </w:t>
      </w:r>
    </w:p>
    <w:p w14:paraId="06A8EFF5" w14:textId="77777777" w:rsidR="00EB7FF7" w:rsidRDefault="00EB7FF7" w:rsidP="00351853">
      <w:pPr>
        <w:spacing w:after="120"/>
        <w:jc w:val="both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1144"/>
        <w:gridCol w:w="1355"/>
        <w:gridCol w:w="1451"/>
        <w:gridCol w:w="1355"/>
        <w:gridCol w:w="1144"/>
        <w:gridCol w:w="1433"/>
      </w:tblGrid>
      <w:tr w:rsidR="009A76F9" w:rsidRPr="00F73219" w14:paraId="0C843357" w14:textId="77777777" w:rsidTr="009B4A5F">
        <w:tc>
          <w:tcPr>
            <w:tcW w:w="10533" w:type="dxa"/>
            <w:gridSpan w:val="7"/>
          </w:tcPr>
          <w:p w14:paraId="33061C9B" w14:textId="7824EB12" w:rsidR="009A76F9" w:rsidRPr="0072479B" w:rsidRDefault="009A76F9" w:rsidP="008838DB">
            <w:pPr>
              <w:pStyle w:val="ListParagraph"/>
              <w:numPr>
                <w:ilvl w:val="0"/>
                <w:numId w:val="13"/>
              </w:num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72479B">
              <w:rPr>
                <w:rFonts w:ascii="Times New Roman" w:hAnsi="Times New Roman" w:cs="Times New Roman"/>
              </w:rPr>
              <w:t>În mii lei (RON)</w:t>
            </w:r>
          </w:p>
        </w:tc>
      </w:tr>
      <w:tr w:rsidR="00520BE3" w:rsidRPr="00F73219" w14:paraId="57D824B3" w14:textId="77777777" w:rsidTr="00B87236">
        <w:tc>
          <w:tcPr>
            <w:tcW w:w="2651" w:type="dxa"/>
          </w:tcPr>
          <w:p w14:paraId="318BEE35" w14:textId="77777777" w:rsidR="00670C79" w:rsidRPr="00F73219" w:rsidRDefault="00670C79" w:rsidP="009E2B37">
            <w:pPr>
              <w:pStyle w:val="Heading2"/>
              <w:rPr>
                <w:sz w:val="24"/>
              </w:rPr>
            </w:pPr>
            <w:r w:rsidRPr="00F73219">
              <w:rPr>
                <w:sz w:val="24"/>
              </w:rPr>
              <w:lastRenderedPageBreak/>
              <w:t>Indicatori</w:t>
            </w:r>
          </w:p>
        </w:tc>
        <w:tc>
          <w:tcPr>
            <w:tcW w:w="1144" w:type="dxa"/>
          </w:tcPr>
          <w:p w14:paraId="603E3C85" w14:textId="129C77CD" w:rsidR="00670C79" w:rsidRPr="00F73219" w:rsidRDefault="00670C79" w:rsidP="009E2B37">
            <w:pPr>
              <w:jc w:val="center"/>
            </w:pPr>
            <w:r w:rsidRPr="00F73219">
              <w:t>An</w:t>
            </w:r>
            <w:r w:rsidR="009A76F9">
              <w:t>ul</w:t>
            </w:r>
            <w:r w:rsidRPr="00F73219">
              <w:t xml:space="preserve"> curent</w:t>
            </w:r>
          </w:p>
        </w:tc>
        <w:tc>
          <w:tcPr>
            <w:tcW w:w="5305" w:type="dxa"/>
            <w:gridSpan w:val="4"/>
          </w:tcPr>
          <w:p w14:paraId="4EA4AF47" w14:textId="77777777" w:rsidR="00670C79" w:rsidRPr="00F73219" w:rsidRDefault="00670C79" w:rsidP="009E2B37">
            <w:pPr>
              <w:jc w:val="center"/>
            </w:pPr>
            <w:r w:rsidRPr="00F73219">
              <w:t>Următorii 4 ani</w:t>
            </w:r>
          </w:p>
        </w:tc>
        <w:tc>
          <w:tcPr>
            <w:tcW w:w="1433" w:type="dxa"/>
          </w:tcPr>
          <w:p w14:paraId="1EE52564" w14:textId="74A4CFA0" w:rsidR="00670C79" w:rsidRPr="00F73219" w:rsidRDefault="00670C79" w:rsidP="009E2B37">
            <w:pPr>
              <w:jc w:val="center"/>
            </w:pPr>
            <w:r w:rsidRPr="00F73219">
              <w:t xml:space="preserve">Media </w:t>
            </w:r>
            <w:r w:rsidR="009A76F9">
              <w:t>pe</w:t>
            </w:r>
            <w:r w:rsidRPr="00F73219">
              <w:t xml:space="preserve"> 5 ani</w:t>
            </w:r>
          </w:p>
        </w:tc>
      </w:tr>
      <w:tr w:rsidR="00520BE3" w:rsidRPr="00F73219" w14:paraId="31AEB740" w14:textId="77777777" w:rsidTr="00B87236">
        <w:tc>
          <w:tcPr>
            <w:tcW w:w="2651" w:type="dxa"/>
          </w:tcPr>
          <w:p w14:paraId="1A04C9C9" w14:textId="77777777" w:rsidR="00670C79" w:rsidRPr="00F73219" w:rsidRDefault="00670C79" w:rsidP="009E2B37">
            <w:pPr>
              <w:jc w:val="center"/>
            </w:pPr>
            <w:r w:rsidRPr="00F73219">
              <w:t>1</w:t>
            </w:r>
          </w:p>
        </w:tc>
        <w:tc>
          <w:tcPr>
            <w:tcW w:w="1144" w:type="dxa"/>
            <w:vAlign w:val="center"/>
          </w:tcPr>
          <w:p w14:paraId="44BDE6EE" w14:textId="77777777" w:rsidR="00670C79" w:rsidRPr="00F73219" w:rsidRDefault="00670C79" w:rsidP="009E2B37">
            <w:pPr>
              <w:jc w:val="center"/>
            </w:pPr>
            <w:r w:rsidRPr="00F73219">
              <w:t>2</w:t>
            </w:r>
          </w:p>
        </w:tc>
        <w:tc>
          <w:tcPr>
            <w:tcW w:w="1355" w:type="dxa"/>
            <w:vAlign w:val="center"/>
          </w:tcPr>
          <w:p w14:paraId="44511A2B" w14:textId="77777777" w:rsidR="00670C79" w:rsidRPr="00F73219" w:rsidRDefault="00670C79" w:rsidP="009E2B37">
            <w:pPr>
              <w:jc w:val="center"/>
            </w:pPr>
            <w:r w:rsidRPr="00F73219">
              <w:t>3</w:t>
            </w:r>
          </w:p>
        </w:tc>
        <w:tc>
          <w:tcPr>
            <w:tcW w:w="1451" w:type="dxa"/>
            <w:vAlign w:val="center"/>
          </w:tcPr>
          <w:p w14:paraId="7665B810" w14:textId="77777777" w:rsidR="00670C79" w:rsidRPr="00F73219" w:rsidRDefault="00670C79" w:rsidP="009E2B37">
            <w:pPr>
              <w:jc w:val="center"/>
            </w:pPr>
            <w:r w:rsidRPr="00F73219">
              <w:t>4</w:t>
            </w:r>
          </w:p>
        </w:tc>
        <w:tc>
          <w:tcPr>
            <w:tcW w:w="1355" w:type="dxa"/>
            <w:vAlign w:val="center"/>
          </w:tcPr>
          <w:p w14:paraId="375332DA" w14:textId="77777777" w:rsidR="00670C79" w:rsidRPr="00F73219" w:rsidRDefault="00670C79" w:rsidP="009E2B37">
            <w:pPr>
              <w:jc w:val="center"/>
            </w:pPr>
            <w:r w:rsidRPr="00F73219">
              <w:t>5</w:t>
            </w:r>
          </w:p>
        </w:tc>
        <w:tc>
          <w:tcPr>
            <w:tcW w:w="1144" w:type="dxa"/>
            <w:vAlign w:val="center"/>
          </w:tcPr>
          <w:p w14:paraId="0DD2A48C" w14:textId="77777777" w:rsidR="00670C79" w:rsidRPr="00F73219" w:rsidRDefault="00670C79" w:rsidP="009E2B37">
            <w:pPr>
              <w:jc w:val="center"/>
            </w:pPr>
            <w:r w:rsidRPr="00F73219">
              <w:t>6</w:t>
            </w:r>
          </w:p>
        </w:tc>
        <w:tc>
          <w:tcPr>
            <w:tcW w:w="1433" w:type="dxa"/>
            <w:vAlign w:val="center"/>
          </w:tcPr>
          <w:p w14:paraId="64FF500C" w14:textId="77777777" w:rsidR="00670C79" w:rsidRPr="00F73219" w:rsidRDefault="00670C79" w:rsidP="009E2B37">
            <w:pPr>
              <w:jc w:val="center"/>
            </w:pPr>
            <w:r w:rsidRPr="00F73219">
              <w:t>7</w:t>
            </w:r>
          </w:p>
        </w:tc>
      </w:tr>
      <w:tr w:rsidR="00FB658F" w:rsidRPr="009B381E" w14:paraId="24F374CE" w14:textId="77777777" w:rsidTr="00B87236">
        <w:tc>
          <w:tcPr>
            <w:tcW w:w="2651" w:type="dxa"/>
          </w:tcPr>
          <w:p w14:paraId="7075F3AB" w14:textId="3D2A3576" w:rsidR="00FB658F" w:rsidRPr="00EF284D" w:rsidRDefault="00FB658F" w:rsidP="009E2B37">
            <w:pPr>
              <w:jc w:val="both"/>
              <w:rPr>
                <w:b/>
                <w:bCs/>
              </w:rPr>
            </w:pPr>
            <w:r w:rsidRPr="00EF284D">
              <w:rPr>
                <w:b/>
                <w:bCs/>
              </w:rPr>
              <w:t>4.1. Modificări ale veniturilor bugetare, plus/minus, din care:</w:t>
            </w:r>
          </w:p>
        </w:tc>
        <w:tc>
          <w:tcPr>
            <w:tcW w:w="1144" w:type="dxa"/>
          </w:tcPr>
          <w:p w14:paraId="7811CDB2" w14:textId="1EDD3FBB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5E0D1921" w14:textId="28E299B7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51" w:type="dxa"/>
          </w:tcPr>
          <w:p w14:paraId="3789DD62" w14:textId="182FBE7A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3EFEBCA3" w14:textId="7AAAFC40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144" w:type="dxa"/>
          </w:tcPr>
          <w:p w14:paraId="4D97905B" w14:textId="0C9C0A5B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33" w:type="dxa"/>
          </w:tcPr>
          <w:p w14:paraId="4A89D66A" w14:textId="5945F623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</w:tr>
      <w:tr w:rsidR="00FB658F" w:rsidRPr="009B381E" w14:paraId="7E845381" w14:textId="77777777" w:rsidTr="00B87236">
        <w:tc>
          <w:tcPr>
            <w:tcW w:w="2651" w:type="dxa"/>
          </w:tcPr>
          <w:p w14:paraId="25792053" w14:textId="77777777" w:rsidR="00FB658F" w:rsidRPr="003A367D" w:rsidRDefault="00FB658F" w:rsidP="009E2B37">
            <w:pPr>
              <w:jc w:val="both"/>
            </w:pPr>
            <w:r w:rsidRPr="003A367D">
              <w:t>a) bugetul de stat, din acesta:</w:t>
            </w:r>
          </w:p>
          <w:p w14:paraId="32D9DBFB" w14:textId="15A036BA" w:rsidR="00FB658F" w:rsidRPr="003A367D" w:rsidRDefault="00FB658F" w:rsidP="009E2B37">
            <w:pPr>
              <w:jc w:val="both"/>
            </w:pPr>
            <w:r>
              <w:t xml:space="preserve">(i) </w:t>
            </w:r>
            <w:r w:rsidRPr="003A367D">
              <w:t>impozit pe profit</w:t>
            </w:r>
          </w:p>
          <w:p w14:paraId="67C4E169" w14:textId="0BD99910" w:rsidR="00FB658F" w:rsidRPr="00F73219" w:rsidRDefault="00FB658F" w:rsidP="009E2B37">
            <w:pPr>
              <w:jc w:val="both"/>
            </w:pPr>
            <w:r>
              <w:t xml:space="preserve">(ii) </w:t>
            </w:r>
            <w:r w:rsidRPr="003A367D">
              <w:t>impozit pe venit</w:t>
            </w:r>
          </w:p>
        </w:tc>
        <w:tc>
          <w:tcPr>
            <w:tcW w:w="1144" w:type="dxa"/>
          </w:tcPr>
          <w:p w14:paraId="07086A97" w14:textId="7D43B4B8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68EDD67B" w14:textId="2978E8E3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51" w:type="dxa"/>
          </w:tcPr>
          <w:p w14:paraId="074A0C4C" w14:textId="1E8B288E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3EC66A65" w14:textId="5B9F8C20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144" w:type="dxa"/>
          </w:tcPr>
          <w:p w14:paraId="5CEC73AA" w14:textId="12CF9ED7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33" w:type="dxa"/>
          </w:tcPr>
          <w:p w14:paraId="761E2BD4" w14:textId="420D5135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</w:tr>
      <w:tr w:rsidR="00FB658F" w:rsidRPr="009B381E" w14:paraId="6771B99C" w14:textId="77777777" w:rsidTr="00B87236">
        <w:tc>
          <w:tcPr>
            <w:tcW w:w="2651" w:type="dxa"/>
          </w:tcPr>
          <w:p w14:paraId="6A8A0E7F" w14:textId="577483D3" w:rsidR="00FB658F" w:rsidRPr="003A367D" w:rsidRDefault="00FB658F" w:rsidP="009E2B37">
            <w:pPr>
              <w:jc w:val="both"/>
            </w:pPr>
            <w:r w:rsidRPr="003A367D">
              <w:t>b)</w:t>
            </w:r>
            <w:r>
              <w:t xml:space="preserve"> </w:t>
            </w:r>
            <w:r w:rsidRPr="003A367D">
              <w:t>bugete locale:</w:t>
            </w:r>
          </w:p>
          <w:p w14:paraId="3B0FCECB" w14:textId="7AB36B1B" w:rsidR="00FB658F" w:rsidRPr="00F73219" w:rsidRDefault="00FB658F" w:rsidP="009E2B37">
            <w:pPr>
              <w:jc w:val="both"/>
            </w:pPr>
            <w:r>
              <w:t xml:space="preserve">(i) </w:t>
            </w:r>
            <w:r w:rsidRPr="003A367D">
              <w:t>impozit pe profit</w:t>
            </w:r>
          </w:p>
        </w:tc>
        <w:tc>
          <w:tcPr>
            <w:tcW w:w="1144" w:type="dxa"/>
          </w:tcPr>
          <w:p w14:paraId="687D0BEC" w14:textId="48CE9199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203F5632" w14:textId="37B47DDD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51" w:type="dxa"/>
          </w:tcPr>
          <w:p w14:paraId="38DA8080" w14:textId="224D549D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31807B27" w14:textId="0BB3CFE6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144" w:type="dxa"/>
          </w:tcPr>
          <w:p w14:paraId="29015A0A" w14:textId="0C3B5B43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33" w:type="dxa"/>
          </w:tcPr>
          <w:p w14:paraId="33E8076D" w14:textId="5C28CF5D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</w:tr>
      <w:tr w:rsidR="00FB658F" w:rsidRPr="009B381E" w14:paraId="3ECF4DE7" w14:textId="77777777" w:rsidTr="00B87236">
        <w:tc>
          <w:tcPr>
            <w:tcW w:w="2651" w:type="dxa"/>
          </w:tcPr>
          <w:p w14:paraId="454D76E8" w14:textId="401F8F98" w:rsidR="00FB658F" w:rsidRPr="003A367D" w:rsidRDefault="00FB658F" w:rsidP="009E2B37">
            <w:pPr>
              <w:jc w:val="both"/>
            </w:pPr>
            <w:r w:rsidRPr="003A367D">
              <w:t>c)</w:t>
            </w:r>
            <w:r>
              <w:t xml:space="preserve"> </w:t>
            </w:r>
            <w:r w:rsidRPr="003A367D">
              <w:t>bugetul asigurărilor sociale</w:t>
            </w:r>
            <w:r>
              <w:t xml:space="preserve"> de stat</w:t>
            </w:r>
          </w:p>
          <w:p w14:paraId="551EFD10" w14:textId="6A1DCE03" w:rsidR="00FB658F" w:rsidRPr="003A367D" w:rsidRDefault="00FB658F" w:rsidP="009E2B37">
            <w:pPr>
              <w:jc w:val="both"/>
            </w:pPr>
            <w:r>
              <w:t xml:space="preserve">(i) </w:t>
            </w:r>
            <w:r w:rsidRPr="003A367D">
              <w:t>contribuţii de asigurări</w:t>
            </w:r>
          </w:p>
        </w:tc>
        <w:tc>
          <w:tcPr>
            <w:tcW w:w="1144" w:type="dxa"/>
          </w:tcPr>
          <w:p w14:paraId="20DF36E4" w14:textId="24A7FB34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2E4987C5" w14:textId="5B5CBA41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51" w:type="dxa"/>
          </w:tcPr>
          <w:p w14:paraId="55EA5A38" w14:textId="0F622A94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1A940564" w14:textId="440836DF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144" w:type="dxa"/>
          </w:tcPr>
          <w:p w14:paraId="3B9F8826" w14:textId="0A2DF151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33" w:type="dxa"/>
          </w:tcPr>
          <w:p w14:paraId="7236E3D5" w14:textId="1F8F5DE9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</w:tr>
      <w:tr w:rsidR="00FB658F" w:rsidRPr="009B381E" w14:paraId="3B61ACE7" w14:textId="77777777" w:rsidTr="00B87236">
        <w:tc>
          <w:tcPr>
            <w:tcW w:w="2651" w:type="dxa"/>
          </w:tcPr>
          <w:p w14:paraId="62FD1E56" w14:textId="77777777" w:rsidR="00FB658F" w:rsidRDefault="00FB658F" w:rsidP="009E2B37">
            <w:pPr>
              <w:jc w:val="both"/>
            </w:pPr>
            <w:r>
              <w:t>d) alte tipuri de venituri</w:t>
            </w:r>
          </w:p>
          <w:p w14:paraId="5EB8BD87" w14:textId="4527B335" w:rsidR="00FB658F" w:rsidRPr="003A367D" w:rsidRDefault="00FB658F" w:rsidP="009E2B37">
            <w:pPr>
              <w:jc w:val="both"/>
            </w:pPr>
            <w:r>
              <w:t xml:space="preserve">(Se va menționa natura acestora.) </w:t>
            </w:r>
          </w:p>
        </w:tc>
        <w:tc>
          <w:tcPr>
            <w:tcW w:w="1144" w:type="dxa"/>
          </w:tcPr>
          <w:p w14:paraId="704BCA51" w14:textId="5A1270EF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269D834F" w14:textId="108370FF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51" w:type="dxa"/>
          </w:tcPr>
          <w:p w14:paraId="03C3272C" w14:textId="1D9296E5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355" w:type="dxa"/>
          </w:tcPr>
          <w:p w14:paraId="70C282AC" w14:textId="1BB381C5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144" w:type="dxa"/>
          </w:tcPr>
          <w:p w14:paraId="711BE975" w14:textId="50862D58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  <w:tc>
          <w:tcPr>
            <w:tcW w:w="1433" w:type="dxa"/>
          </w:tcPr>
          <w:p w14:paraId="56D819C6" w14:textId="46866D73" w:rsidR="00FB658F" w:rsidRPr="001858C8" w:rsidRDefault="00FB658F" w:rsidP="009E2B37">
            <w:pPr>
              <w:pStyle w:val="BodyText2"/>
              <w:rPr>
                <w:sz w:val="24"/>
              </w:rPr>
            </w:pPr>
            <w:r w:rsidRPr="001858C8">
              <w:rPr>
                <w:sz w:val="24"/>
              </w:rPr>
              <w:t>-</w:t>
            </w:r>
          </w:p>
        </w:tc>
      </w:tr>
      <w:tr w:rsidR="00FB658F" w:rsidRPr="009B381E" w14:paraId="126F1061" w14:textId="77777777" w:rsidTr="00B87236">
        <w:tc>
          <w:tcPr>
            <w:tcW w:w="2651" w:type="dxa"/>
          </w:tcPr>
          <w:p w14:paraId="1415B230" w14:textId="72A3E85F" w:rsidR="00FB658F" w:rsidRPr="00EF284D" w:rsidRDefault="00FB658F" w:rsidP="009E2B37">
            <w:pPr>
              <w:jc w:val="both"/>
              <w:rPr>
                <w:b/>
                <w:bCs/>
              </w:rPr>
            </w:pPr>
            <w:r w:rsidRPr="00EF284D">
              <w:rPr>
                <w:b/>
                <w:bCs/>
              </w:rPr>
              <w:t>4.2. Modificări ale cheltuielilor bugetare</w:t>
            </w:r>
            <w:r>
              <w:rPr>
                <w:b/>
                <w:bCs/>
              </w:rPr>
              <w:t>, plus/minus,</w:t>
            </w:r>
            <w:r w:rsidRPr="00EF284D">
              <w:rPr>
                <w:b/>
                <w:bCs/>
              </w:rPr>
              <w:t xml:space="preserve"> din care:</w:t>
            </w:r>
          </w:p>
        </w:tc>
        <w:tc>
          <w:tcPr>
            <w:tcW w:w="1144" w:type="dxa"/>
          </w:tcPr>
          <w:p w14:paraId="7BB1C451" w14:textId="286A4F07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44C5A3FF" w14:textId="233D4E25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1702DFD2" w14:textId="480172EB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1D7B38D6" w14:textId="48071C27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09F7CD9E" w14:textId="67B00DF7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16493B27" w14:textId="7E44F2A2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408E6817" w14:textId="77777777" w:rsidTr="00B87236">
        <w:tc>
          <w:tcPr>
            <w:tcW w:w="2651" w:type="dxa"/>
          </w:tcPr>
          <w:p w14:paraId="2D265B20" w14:textId="19563007" w:rsidR="00FB658F" w:rsidRPr="00CD28D5" w:rsidRDefault="00FB658F" w:rsidP="009E2B37">
            <w:pPr>
              <w:jc w:val="both"/>
            </w:pPr>
            <w:r w:rsidRPr="00CD28D5">
              <w:t>a)</w:t>
            </w:r>
            <w:r>
              <w:t xml:space="preserve"> </w:t>
            </w:r>
            <w:r w:rsidRPr="00CD28D5">
              <w:t>buget de stat, din acesta:</w:t>
            </w:r>
          </w:p>
          <w:p w14:paraId="3382ADB9" w14:textId="31517959" w:rsidR="00FB658F" w:rsidRPr="00CD28D5" w:rsidRDefault="00FB658F" w:rsidP="009E2B37">
            <w:pPr>
              <w:jc w:val="both"/>
            </w:pPr>
            <w:r>
              <w:t xml:space="preserve">(i) </w:t>
            </w:r>
            <w:r w:rsidRPr="00CD28D5">
              <w:t>cheltuieli de personal</w:t>
            </w:r>
          </w:p>
          <w:p w14:paraId="2AF2C20C" w14:textId="4CC7A62F" w:rsidR="00FB658F" w:rsidRDefault="00FB658F" w:rsidP="009E2B37">
            <w:pPr>
              <w:jc w:val="both"/>
            </w:pPr>
            <w:r>
              <w:t xml:space="preserve">(ii) </w:t>
            </w:r>
            <w:r w:rsidRPr="00CD28D5">
              <w:t>bunuri şi servicii</w:t>
            </w:r>
          </w:p>
        </w:tc>
        <w:tc>
          <w:tcPr>
            <w:tcW w:w="1144" w:type="dxa"/>
          </w:tcPr>
          <w:p w14:paraId="3E0B1602" w14:textId="1CCDA56F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4A5827CA" w14:textId="18504D65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32FB3ACA" w14:textId="5BB5ECC3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6B0B1905" w14:textId="6D48E335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23CBB327" w14:textId="20415773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58A4AD04" w14:textId="05C49F89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247EA305" w14:textId="77777777" w:rsidTr="00B87236">
        <w:tc>
          <w:tcPr>
            <w:tcW w:w="2651" w:type="dxa"/>
          </w:tcPr>
          <w:p w14:paraId="1413F8FD" w14:textId="15D4A2BF" w:rsidR="00FB658F" w:rsidRPr="00CD28D5" w:rsidRDefault="00FB658F" w:rsidP="009E2B37">
            <w:pPr>
              <w:jc w:val="both"/>
            </w:pPr>
            <w:r w:rsidRPr="00CD28D5">
              <w:t>b)</w:t>
            </w:r>
            <w:r>
              <w:t xml:space="preserve"> </w:t>
            </w:r>
            <w:r w:rsidRPr="00CD28D5">
              <w:t>bugete locale:</w:t>
            </w:r>
          </w:p>
          <w:p w14:paraId="5D43B430" w14:textId="0375DEBE" w:rsidR="00FB658F" w:rsidRPr="00CD28D5" w:rsidRDefault="00FB658F" w:rsidP="009E2B37">
            <w:pPr>
              <w:jc w:val="both"/>
            </w:pPr>
            <w:r>
              <w:t xml:space="preserve">(i) </w:t>
            </w:r>
            <w:r w:rsidRPr="00CD28D5">
              <w:t>cheltuieli de personal</w:t>
            </w:r>
          </w:p>
          <w:p w14:paraId="5FAAC7DC" w14:textId="3646E615" w:rsidR="00FB658F" w:rsidRPr="00CD28D5" w:rsidRDefault="00FB658F" w:rsidP="009E2B37">
            <w:pPr>
              <w:jc w:val="both"/>
            </w:pPr>
            <w:r>
              <w:t xml:space="preserve">(ii) </w:t>
            </w:r>
            <w:r w:rsidRPr="00CD28D5">
              <w:t>bunuri şi servicii</w:t>
            </w:r>
          </w:p>
        </w:tc>
        <w:tc>
          <w:tcPr>
            <w:tcW w:w="1144" w:type="dxa"/>
          </w:tcPr>
          <w:p w14:paraId="35C2339D" w14:textId="3ACC324C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7642EF10" w14:textId="46B25D1C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00DA41A3" w14:textId="43AACA4C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5014B167" w14:textId="0A1F9842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44E6962F" w14:textId="7920DCDC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5D1C5F3E" w14:textId="7CC5EFA9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64A76806" w14:textId="77777777" w:rsidTr="00B87236">
        <w:tc>
          <w:tcPr>
            <w:tcW w:w="2651" w:type="dxa"/>
          </w:tcPr>
          <w:p w14:paraId="30172BDF" w14:textId="0D2320D4" w:rsidR="00FB658F" w:rsidRPr="00CD13F8" w:rsidRDefault="00FB658F" w:rsidP="009E2B37">
            <w:pPr>
              <w:jc w:val="both"/>
            </w:pPr>
            <w:r w:rsidRPr="00CD13F8">
              <w:t>c)</w:t>
            </w:r>
            <w:r>
              <w:t xml:space="preserve"> </w:t>
            </w:r>
            <w:r w:rsidRPr="00CD13F8">
              <w:t>bugetul asigurărilor sociale</w:t>
            </w:r>
            <w:r>
              <w:t xml:space="preserve"> de stat:</w:t>
            </w:r>
          </w:p>
          <w:p w14:paraId="03FADADD" w14:textId="1EB62078" w:rsidR="00FB658F" w:rsidRPr="00CD13F8" w:rsidRDefault="00FB658F" w:rsidP="009E2B37">
            <w:pPr>
              <w:jc w:val="both"/>
            </w:pPr>
            <w:r>
              <w:t xml:space="preserve">(i) </w:t>
            </w:r>
            <w:r w:rsidRPr="00CD13F8">
              <w:t>cheltuieli de personal</w:t>
            </w:r>
          </w:p>
          <w:p w14:paraId="55656529" w14:textId="757B5B4C" w:rsidR="00FB658F" w:rsidRPr="00CD28D5" w:rsidRDefault="00FB658F" w:rsidP="009E2B37">
            <w:pPr>
              <w:jc w:val="both"/>
            </w:pPr>
            <w:r>
              <w:t xml:space="preserve">(ii) </w:t>
            </w:r>
            <w:r w:rsidRPr="00CD13F8">
              <w:t>bunuri şi servicii</w:t>
            </w:r>
          </w:p>
        </w:tc>
        <w:tc>
          <w:tcPr>
            <w:tcW w:w="1144" w:type="dxa"/>
          </w:tcPr>
          <w:p w14:paraId="2DE6BAAD" w14:textId="50881D74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07943E17" w14:textId="10DEDD1C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5D1EB785" w14:textId="50D53936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7E7347DF" w14:textId="1F00B5BE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27993F0F" w14:textId="79490DCA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3D14DE78" w14:textId="02A30170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5C3A403A" w14:textId="77777777" w:rsidTr="00B87236">
        <w:tc>
          <w:tcPr>
            <w:tcW w:w="2651" w:type="dxa"/>
          </w:tcPr>
          <w:p w14:paraId="3BF8A849" w14:textId="176DF995" w:rsidR="00FB658F" w:rsidRPr="00EF284D" w:rsidRDefault="00FB658F" w:rsidP="009E2B37">
            <w:pPr>
              <w:jc w:val="both"/>
            </w:pPr>
            <w:r w:rsidRPr="00EF284D">
              <w:t xml:space="preserve">d) alte tipuri de </w:t>
            </w:r>
            <w:r>
              <w:t>cheltuieli</w:t>
            </w:r>
          </w:p>
          <w:p w14:paraId="359EE9C4" w14:textId="710C86CB" w:rsidR="00FB658F" w:rsidRPr="00CD13F8" w:rsidRDefault="00FB658F" w:rsidP="009E2B37">
            <w:pPr>
              <w:jc w:val="both"/>
            </w:pPr>
            <w:r w:rsidRPr="00EF284D">
              <w:t>(</w:t>
            </w:r>
            <w:r>
              <w:t>S</w:t>
            </w:r>
            <w:r w:rsidRPr="00EF284D">
              <w:t>e va menționa natura acestora</w:t>
            </w:r>
            <w:r>
              <w:t>.</w:t>
            </w:r>
            <w:r w:rsidRPr="00EF284D">
              <w:t>)</w:t>
            </w:r>
          </w:p>
        </w:tc>
        <w:tc>
          <w:tcPr>
            <w:tcW w:w="1144" w:type="dxa"/>
          </w:tcPr>
          <w:p w14:paraId="2C7AC338" w14:textId="427ACD53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7CA00BF7" w14:textId="7C23C65D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22F7EDA8" w14:textId="037DCD22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1C65014D" w14:textId="0C3341D5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69EFB472" w14:textId="25714FDD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2BEA7293" w14:textId="07118FB4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6E9F3798" w14:textId="77777777" w:rsidTr="00B87236">
        <w:tc>
          <w:tcPr>
            <w:tcW w:w="2651" w:type="dxa"/>
          </w:tcPr>
          <w:p w14:paraId="1C49C2EC" w14:textId="77777777" w:rsidR="00FB658F" w:rsidRPr="00A75729" w:rsidRDefault="00FB658F" w:rsidP="009E2B37">
            <w:pPr>
              <w:jc w:val="both"/>
              <w:rPr>
                <w:b/>
                <w:bCs/>
              </w:rPr>
            </w:pPr>
            <w:r w:rsidRPr="00A75729">
              <w:rPr>
                <w:b/>
                <w:bCs/>
              </w:rPr>
              <w:t>4.3. Impact financiar, plus/minus, din care:</w:t>
            </w:r>
          </w:p>
          <w:p w14:paraId="656BFCEC" w14:textId="54C7982C" w:rsidR="00FB658F" w:rsidRPr="00EF284D" w:rsidRDefault="00FB658F" w:rsidP="009E2B37">
            <w:pPr>
              <w:jc w:val="both"/>
            </w:pPr>
            <w:r>
              <w:t>a) buget de stat</w:t>
            </w:r>
          </w:p>
        </w:tc>
        <w:tc>
          <w:tcPr>
            <w:tcW w:w="1144" w:type="dxa"/>
          </w:tcPr>
          <w:p w14:paraId="7AD2D601" w14:textId="2F80C7DA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0568D044" w14:textId="7A7FBB0D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210A6366" w14:textId="1137DF28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2693F75B" w14:textId="2778B7B5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1585137C" w14:textId="5D2C5ABE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2D494315" w14:textId="09A20983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3177FEF7" w14:textId="77777777" w:rsidTr="00B87236">
        <w:tc>
          <w:tcPr>
            <w:tcW w:w="2651" w:type="dxa"/>
          </w:tcPr>
          <w:p w14:paraId="33908C4A" w14:textId="118E34DE" w:rsidR="00FB658F" w:rsidRDefault="00FB658F" w:rsidP="009E2B37">
            <w:pPr>
              <w:jc w:val="both"/>
            </w:pPr>
            <w:r w:rsidRPr="00A75729">
              <w:t>b)</w:t>
            </w:r>
            <w:r>
              <w:t xml:space="preserve"> </w:t>
            </w:r>
            <w:r w:rsidRPr="00A75729">
              <w:t>bugete locale</w:t>
            </w:r>
          </w:p>
        </w:tc>
        <w:tc>
          <w:tcPr>
            <w:tcW w:w="1144" w:type="dxa"/>
          </w:tcPr>
          <w:p w14:paraId="4B62CC0C" w14:textId="06F44E70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283AC80B" w14:textId="6571D622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7219261C" w14:textId="5B30C013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49D7F163" w14:textId="78457E0D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7C544E7C" w14:textId="1D01C12B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4953DDFD" w14:textId="675C5F9E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4B985901" w14:textId="77777777" w:rsidTr="00B87236">
        <w:tc>
          <w:tcPr>
            <w:tcW w:w="2651" w:type="dxa"/>
          </w:tcPr>
          <w:p w14:paraId="41F94191" w14:textId="4D675AF2" w:rsidR="00FB658F" w:rsidRPr="00A75729" w:rsidRDefault="00FB658F" w:rsidP="009E2B37">
            <w:pPr>
              <w:jc w:val="both"/>
              <w:rPr>
                <w:b/>
                <w:bCs/>
              </w:rPr>
            </w:pPr>
            <w:r w:rsidRPr="00A75729">
              <w:rPr>
                <w:b/>
                <w:bCs/>
              </w:rPr>
              <w:t>4.4. Propuneri pentru acoperirea creşterii cheltuielilor bugetare</w:t>
            </w:r>
          </w:p>
        </w:tc>
        <w:tc>
          <w:tcPr>
            <w:tcW w:w="1144" w:type="dxa"/>
          </w:tcPr>
          <w:p w14:paraId="12553E7B" w14:textId="5DCD17CC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6B4AB040" w14:textId="2016E06D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51" w:type="dxa"/>
          </w:tcPr>
          <w:p w14:paraId="2B58709A" w14:textId="28AC7DFB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355" w:type="dxa"/>
          </w:tcPr>
          <w:p w14:paraId="7AE48667" w14:textId="7C69CB7D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144" w:type="dxa"/>
          </w:tcPr>
          <w:p w14:paraId="2C05220B" w14:textId="01B07B4A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  <w:tc>
          <w:tcPr>
            <w:tcW w:w="1433" w:type="dxa"/>
          </w:tcPr>
          <w:p w14:paraId="5BF7C6F4" w14:textId="6A76898A" w:rsidR="00FB658F" w:rsidRPr="001858C8" w:rsidRDefault="00FB658F" w:rsidP="009E2B37">
            <w:pPr>
              <w:jc w:val="center"/>
            </w:pPr>
            <w:r w:rsidRPr="001858C8">
              <w:t>-</w:t>
            </w:r>
          </w:p>
        </w:tc>
      </w:tr>
      <w:tr w:rsidR="00FB658F" w:rsidRPr="009B381E" w14:paraId="0936FEC1" w14:textId="77777777" w:rsidTr="00B87236">
        <w:tc>
          <w:tcPr>
            <w:tcW w:w="2651" w:type="dxa"/>
          </w:tcPr>
          <w:p w14:paraId="31602873" w14:textId="19763228" w:rsidR="00FB658F" w:rsidRPr="00A75729" w:rsidRDefault="00FB658F" w:rsidP="009E2B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4.5. </w:t>
            </w:r>
            <w:r w:rsidRPr="00A75729">
              <w:rPr>
                <w:b/>
                <w:bCs/>
              </w:rPr>
              <w:t xml:space="preserve">Propuneri pentru </w:t>
            </w:r>
            <w:r>
              <w:rPr>
                <w:b/>
                <w:bCs/>
              </w:rPr>
              <w:t>a compensa reducerea veniturilor bugetare</w:t>
            </w:r>
          </w:p>
        </w:tc>
        <w:tc>
          <w:tcPr>
            <w:tcW w:w="1144" w:type="dxa"/>
          </w:tcPr>
          <w:p w14:paraId="50FCA196" w14:textId="60877429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355" w:type="dxa"/>
          </w:tcPr>
          <w:p w14:paraId="06CFE138" w14:textId="4780317F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14:paraId="6FFFE022" w14:textId="1BF79E7E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355" w:type="dxa"/>
          </w:tcPr>
          <w:p w14:paraId="46465A6F" w14:textId="05881AF3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144" w:type="dxa"/>
          </w:tcPr>
          <w:p w14:paraId="14082553" w14:textId="517E8137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433" w:type="dxa"/>
          </w:tcPr>
          <w:p w14:paraId="178CA231" w14:textId="7D3009DF" w:rsidR="00FB658F" w:rsidRPr="009B381E" w:rsidRDefault="00FB658F" w:rsidP="009E2B37">
            <w:pPr>
              <w:jc w:val="center"/>
            </w:pPr>
            <w:r>
              <w:t>-</w:t>
            </w:r>
          </w:p>
        </w:tc>
      </w:tr>
      <w:tr w:rsidR="00FB658F" w:rsidRPr="009B381E" w14:paraId="153D0F09" w14:textId="77777777" w:rsidTr="00B87236">
        <w:tc>
          <w:tcPr>
            <w:tcW w:w="2651" w:type="dxa"/>
          </w:tcPr>
          <w:p w14:paraId="4E7FCDBB" w14:textId="336B0E28" w:rsidR="00FB658F" w:rsidRDefault="00FB658F" w:rsidP="009E2B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4.6. </w:t>
            </w:r>
            <w:r w:rsidRPr="00A75729">
              <w:rPr>
                <w:b/>
                <w:bCs/>
              </w:rPr>
              <w:t>Calcule detaliate privind fundamentarea modificărilor  veniturilor şi/sau cheltuielilor bugetare</w:t>
            </w:r>
          </w:p>
        </w:tc>
        <w:tc>
          <w:tcPr>
            <w:tcW w:w="1144" w:type="dxa"/>
          </w:tcPr>
          <w:p w14:paraId="18046DC1" w14:textId="36F7A99F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355" w:type="dxa"/>
          </w:tcPr>
          <w:p w14:paraId="7CF35163" w14:textId="56330B1B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14:paraId="1D863FB9" w14:textId="7F3DFC8C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355" w:type="dxa"/>
          </w:tcPr>
          <w:p w14:paraId="42476051" w14:textId="080E7CBA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144" w:type="dxa"/>
          </w:tcPr>
          <w:p w14:paraId="4746E189" w14:textId="2ED39468" w:rsidR="00FB658F" w:rsidRPr="009B381E" w:rsidRDefault="00FB658F" w:rsidP="009E2B37">
            <w:pPr>
              <w:jc w:val="center"/>
            </w:pPr>
            <w:r>
              <w:t>-</w:t>
            </w:r>
          </w:p>
        </w:tc>
        <w:tc>
          <w:tcPr>
            <w:tcW w:w="1433" w:type="dxa"/>
          </w:tcPr>
          <w:p w14:paraId="05472402" w14:textId="05F13366" w:rsidR="00FB658F" w:rsidRPr="009B381E" w:rsidRDefault="00FB658F" w:rsidP="009E2B37">
            <w:pPr>
              <w:jc w:val="center"/>
            </w:pPr>
            <w:r>
              <w:t>-</w:t>
            </w:r>
          </w:p>
        </w:tc>
      </w:tr>
      <w:tr w:rsidR="00FB658F" w:rsidRPr="009B381E" w14:paraId="260B3CE9" w14:textId="77777777" w:rsidTr="009B4A5F">
        <w:tc>
          <w:tcPr>
            <w:tcW w:w="10533" w:type="dxa"/>
            <w:gridSpan w:val="7"/>
          </w:tcPr>
          <w:p w14:paraId="38A65360" w14:textId="7BB19CF9" w:rsidR="00FB658F" w:rsidRPr="00B4537B" w:rsidRDefault="00FB658F" w:rsidP="009E2B37">
            <w:pPr>
              <w:jc w:val="both"/>
              <w:rPr>
                <w:b/>
                <w:bCs/>
              </w:rPr>
            </w:pPr>
            <w:r w:rsidRPr="00B4537B">
              <w:rPr>
                <w:b/>
                <w:bCs/>
              </w:rPr>
              <w:t>4.7. Prezentarea, în cazul proiectelor de acte normative a căror adaptare atrage majorarea cheltuielilor bugetare, a următoarelor documente:</w:t>
            </w:r>
          </w:p>
          <w:p w14:paraId="67DFFAEF" w14:textId="350B0C6A" w:rsidR="00FB658F" w:rsidRDefault="00FB658F" w:rsidP="009E2B37">
            <w:pPr>
              <w:spacing w:after="120"/>
              <w:jc w:val="both"/>
            </w:pPr>
            <w:r>
              <w:lastRenderedPageBreak/>
              <w:t>a) fișa financiară prevăzută la art. 15 din Legea nr. 500/2002 privind finanțele publice, cu modificările și completările ulterioare, însoțită de ipotezele și metodologia de calcul utilizată;</w:t>
            </w:r>
          </w:p>
          <w:p w14:paraId="699F79A9" w14:textId="2B8E14B3" w:rsidR="00FB658F" w:rsidRPr="009B381E" w:rsidRDefault="00FB658F" w:rsidP="009E2B37">
            <w:pPr>
              <w:spacing w:after="120"/>
              <w:jc w:val="both"/>
            </w:pPr>
            <w:r>
              <w:t>b) declarație conform căreia majorarea de cheltuială respectivă este compatibilă cu obiectivele și prioritățile strategice specificate în strategia fiscal-bugetară, cu legea bugetară anuală și cu plafoanele de cheltuieli prezentate în strategia fiscal-bugetară.</w:t>
            </w:r>
          </w:p>
        </w:tc>
      </w:tr>
      <w:tr w:rsidR="00FB658F" w:rsidRPr="009B381E" w14:paraId="675CE50B" w14:textId="77777777" w:rsidTr="009B4A5F">
        <w:tc>
          <w:tcPr>
            <w:tcW w:w="10533" w:type="dxa"/>
            <w:gridSpan w:val="7"/>
          </w:tcPr>
          <w:p w14:paraId="42DB7798" w14:textId="77777777" w:rsidR="00FB658F" w:rsidRDefault="00FB658F" w:rsidP="009E2B37">
            <w:pPr>
              <w:rPr>
                <w:b/>
                <w:bCs/>
                <w:noProof/>
              </w:rPr>
            </w:pPr>
            <w:r w:rsidRPr="00B4537B">
              <w:rPr>
                <w:b/>
                <w:bCs/>
                <w:noProof/>
              </w:rPr>
              <w:lastRenderedPageBreak/>
              <w:t>4.8. Alte informații</w:t>
            </w:r>
          </w:p>
          <w:p w14:paraId="64B74EF4" w14:textId="5CFE3AE2" w:rsidR="00053DCB" w:rsidRPr="00053DCB" w:rsidRDefault="00053DCB" w:rsidP="009E2B37">
            <w:pPr>
              <w:rPr>
                <w:noProof/>
              </w:rPr>
            </w:pPr>
            <w:r w:rsidRPr="00053DCB">
              <w:rPr>
                <w:noProof/>
              </w:rPr>
              <w:t>Proiectul de act normativ nu are impact financiar negativ asupra bugetului de stat.</w:t>
            </w:r>
          </w:p>
        </w:tc>
      </w:tr>
    </w:tbl>
    <w:p w14:paraId="2F7ACEA9" w14:textId="71A9A965" w:rsidR="003864F6" w:rsidRDefault="00670C79" w:rsidP="008838DB">
      <w:pPr>
        <w:spacing w:after="120"/>
        <w:jc w:val="both"/>
        <w:rPr>
          <w:b/>
        </w:rPr>
      </w:pPr>
      <w:r w:rsidRPr="009B381E">
        <w:rPr>
          <w:b/>
        </w:rPr>
        <w:t xml:space="preserve">   </w:t>
      </w:r>
    </w:p>
    <w:p w14:paraId="777ED2E4" w14:textId="77777777" w:rsidR="00B4537B" w:rsidRDefault="00670C79" w:rsidP="00351853">
      <w:pPr>
        <w:spacing w:after="120"/>
        <w:jc w:val="both"/>
        <w:rPr>
          <w:b/>
        </w:rPr>
      </w:pPr>
      <w:r w:rsidRPr="009B381E">
        <w:rPr>
          <w:b/>
        </w:rPr>
        <w:t xml:space="preserve">Secţiunea a 5-a </w:t>
      </w:r>
    </w:p>
    <w:p w14:paraId="7E1BCAF6" w14:textId="576D5D21" w:rsidR="00670C79" w:rsidRDefault="00670C79" w:rsidP="00351853">
      <w:pPr>
        <w:spacing w:after="120"/>
        <w:jc w:val="both"/>
        <w:rPr>
          <w:b/>
        </w:rPr>
      </w:pPr>
      <w:r w:rsidRPr="009B381E">
        <w:rPr>
          <w:b/>
        </w:rPr>
        <w:t>Efectele proiectului de act normativ asupra legislaţiei în vigoare</w:t>
      </w:r>
    </w:p>
    <w:p w14:paraId="61C06025" w14:textId="77777777" w:rsidR="00EB7FF7" w:rsidRDefault="00EB7FF7" w:rsidP="00351853">
      <w:pPr>
        <w:spacing w:after="120"/>
        <w:jc w:val="both"/>
        <w:rPr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973701" w:rsidRPr="009B381E" w14:paraId="327176B4" w14:textId="77777777" w:rsidTr="009B4A5F">
        <w:trPr>
          <w:trHeight w:val="561"/>
        </w:trPr>
        <w:tc>
          <w:tcPr>
            <w:tcW w:w="10533" w:type="dxa"/>
          </w:tcPr>
          <w:p w14:paraId="4F9076D7" w14:textId="407D2D2C" w:rsidR="00973701" w:rsidRDefault="00973701" w:rsidP="008838DB">
            <w:pPr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5.1. Măsuri normative necesare pentru aplicarea prevederilor proiectului de act normativ</w:t>
            </w:r>
          </w:p>
          <w:p w14:paraId="2734C2C9" w14:textId="77777777" w:rsidR="00E34C9F" w:rsidRDefault="00E34C9F" w:rsidP="008838DB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781B0E">
              <w:rPr>
                <w:color w:val="000000" w:themeColor="text1"/>
              </w:rPr>
              <w:t xml:space="preserve">Prezentul act normativ nu se referă la acest subiect. </w:t>
            </w:r>
          </w:p>
          <w:p w14:paraId="79B335E6" w14:textId="7FF2F883" w:rsidR="00973701" w:rsidRDefault="00973701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5.2. Impactul asupra legislației în domeniul achizițiilor publice</w:t>
            </w:r>
          </w:p>
          <w:p w14:paraId="142A264C" w14:textId="77777777" w:rsidR="00E34C9F" w:rsidRDefault="00E34C9F" w:rsidP="008838DB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781B0E">
              <w:rPr>
                <w:color w:val="000000" w:themeColor="text1"/>
              </w:rPr>
              <w:t xml:space="preserve">Prezentul act normativ nu se referă la acest subiect. </w:t>
            </w:r>
          </w:p>
          <w:p w14:paraId="3CE6B9A6" w14:textId="5769E2AF" w:rsidR="00973701" w:rsidRPr="00EF7E66" w:rsidRDefault="00973701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5.3. Conformitatea  proiectului de act normativ cu legislaţia UE (în cazul proiectelor ce transpun sau asigură aplicarea unor prevederi de drept UE)</w:t>
            </w:r>
          </w:p>
          <w:p w14:paraId="09158D06" w14:textId="7EEBFF96" w:rsidR="00973701" w:rsidRDefault="00973701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5.3.1. Măsuri normative necesare transpunerii directivelor UE</w:t>
            </w:r>
          </w:p>
          <w:p w14:paraId="7FC77FE7" w14:textId="2382ABC5" w:rsidR="00707145" w:rsidRDefault="00707145" w:rsidP="008838DB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781B0E">
              <w:rPr>
                <w:color w:val="000000" w:themeColor="text1"/>
              </w:rPr>
              <w:t>Prezentul act normativ nu se referă la acest subiect.</w:t>
            </w:r>
          </w:p>
          <w:p w14:paraId="4087DBF1" w14:textId="5318F6F9" w:rsidR="00973701" w:rsidRDefault="00674D58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5.3.2. Măsuri normative necesare aplicării actelor legislative UE</w:t>
            </w:r>
          </w:p>
          <w:p w14:paraId="305F07FF" w14:textId="77777777" w:rsidR="0046232C" w:rsidRDefault="0046232C" w:rsidP="008838DB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781B0E">
              <w:rPr>
                <w:color w:val="000000" w:themeColor="text1"/>
              </w:rPr>
              <w:t>Prezentul act normativ nu se referă la acest subiect.</w:t>
            </w:r>
          </w:p>
          <w:p w14:paraId="175813EC" w14:textId="77777777" w:rsidR="0046232C" w:rsidRDefault="00674D58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5.4. Hotărâri ale Curţii de Justiţie a Uniunii Europene</w:t>
            </w:r>
            <w:r w:rsidR="002623AD">
              <w:rPr>
                <w:b/>
                <w:bCs/>
              </w:rPr>
              <w:t xml:space="preserve"> </w:t>
            </w:r>
          </w:p>
          <w:p w14:paraId="1E374322" w14:textId="491720F4" w:rsidR="0046232C" w:rsidRDefault="0046232C" w:rsidP="008838DB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781B0E">
              <w:rPr>
                <w:color w:val="000000" w:themeColor="text1"/>
              </w:rPr>
              <w:t>Prezentul act normativ nu se referă la acest subiect.</w:t>
            </w:r>
          </w:p>
          <w:p w14:paraId="2CB7E45D" w14:textId="77777777" w:rsidR="00A4162D" w:rsidRDefault="00674D58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5.5. Alte acte normative şi/sau documente internaţionale din care decurg angajamente asumate</w:t>
            </w:r>
            <w:r w:rsidR="002623AD">
              <w:rPr>
                <w:b/>
                <w:bCs/>
              </w:rPr>
              <w:t xml:space="preserve"> </w:t>
            </w:r>
          </w:p>
          <w:p w14:paraId="64B76AFC" w14:textId="4A289D0F" w:rsidR="00A4162D" w:rsidRDefault="00A4162D" w:rsidP="008838DB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781B0E">
              <w:rPr>
                <w:color w:val="000000" w:themeColor="text1"/>
              </w:rPr>
              <w:t>Prezentul act normativ nu se referă la acest subiect.</w:t>
            </w:r>
          </w:p>
          <w:p w14:paraId="48B42044" w14:textId="77777777" w:rsidR="00973701" w:rsidRDefault="00674D58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</w:rPr>
            </w:pPr>
            <w:r w:rsidRPr="00EF7E66">
              <w:rPr>
                <w:b/>
                <w:bCs/>
              </w:rPr>
              <w:t>5.6. Alte informații</w:t>
            </w:r>
          </w:p>
          <w:p w14:paraId="7C430706" w14:textId="4146A0BA" w:rsidR="00AE7473" w:rsidRPr="00674D58" w:rsidRDefault="00AE7473" w:rsidP="008838DB">
            <w:pPr>
              <w:tabs>
                <w:tab w:val="left" w:pos="201"/>
              </w:tabs>
              <w:spacing w:after="120"/>
              <w:jc w:val="both"/>
            </w:pPr>
            <w:r w:rsidRPr="003F6FB9">
              <w:t>Nu au fost identificate.</w:t>
            </w:r>
          </w:p>
        </w:tc>
      </w:tr>
    </w:tbl>
    <w:p w14:paraId="59CBC093" w14:textId="77777777" w:rsidR="00351853" w:rsidRDefault="00351853" w:rsidP="00351853">
      <w:pPr>
        <w:spacing w:after="120"/>
        <w:rPr>
          <w:b/>
        </w:rPr>
      </w:pPr>
    </w:p>
    <w:p w14:paraId="6F04DAD9" w14:textId="672D99E6" w:rsidR="00BB0782" w:rsidRDefault="00BB0782" w:rsidP="00351853">
      <w:pPr>
        <w:spacing w:after="120"/>
        <w:rPr>
          <w:b/>
        </w:rPr>
      </w:pPr>
      <w:r>
        <w:rPr>
          <w:b/>
        </w:rPr>
        <w:t>Secțiunea a 6-a</w:t>
      </w:r>
    </w:p>
    <w:p w14:paraId="4113E59E" w14:textId="59419D76" w:rsidR="00670C79" w:rsidRDefault="00670C79" w:rsidP="00351853">
      <w:pPr>
        <w:spacing w:after="120"/>
        <w:rPr>
          <w:b/>
        </w:rPr>
      </w:pPr>
      <w:r w:rsidRPr="009B381E">
        <w:rPr>
          <w:b/>
        </w:rPr>
        <w:t>Consultările efectuate în vederea elaborării proiectului de act normativ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770E01" w:rsidRPr="009B381E" w14:paraId="5EB7CDBC" w14:textId="77777777" w:rsidTr="009B4A5F">
        <w:tc>
          <w:tcPr>
            <w:tcW w:w="10533" w:type="dxa"/>
          </w:tcPr>
          <w:p w14:paraId="598B642C" w14:textId="50A84CE9" w:rsidR="00770E01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770E01">
              <w:rPr>
                <w:b/>
                <w:bCs/>
              </w:rPr>
              <w:t>6.1. Informații privind neaplicarea procedurii de participare la elaborarea actelor normative</w:t>
            </w:r>
          </w:p>
          <w:p w14:paraId="0B61431A" w14:textId="044D21FE" w:rsidR="00770E01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770E01">
              <w:rPr>
                <w:b/>
                <w:bCs/>
              </w:rPr>
              <w:t>6.2. Informaţii privind procesul de consultare cu organizaţii neguvernamentale, institute de cercetare şi alte organisme implicate</w:t>
            </w:r>
          </w:p>
          <w:p w14:paraId="2ADA1DAA" w14:textId="77777777" w:rsidR="00435A81" w:rsidRDefault="00435A81" w:rsidP="008838DB">
            <w:pPr>
              <w:spacing w:after="120"/>
              <w:jc w:val="both"/>
              <w:rPr>
                <w:b/>
                <w:bCs/>
              </w:rPr>
            </w:pPr>
            <w:r w:rsidRPr="003F6FB9">
              <w:t>Prezentul act normativ nu se referă la acest subiect</w:t>
            </w:r>
            <w:r w:rsidRPr="00770E01">
              <w:rPr>
                <w:b/>
                <w:bCs/>
              </w:rPr>
              <w:t xml:space="preserve"> </w:t>
            </w:r>
          </w:p>
          <w:p w14:paraId="2BABECC5" w14:textId="4EDDB79F" w:rsidR="00926ABC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770E01">
              <w:rPr>
                <w:b/>
                <w:bCs/>
              </w:rPr>
              <w:t>6.3. Informații despre consultările organizate cu autoritățile administrației publice locale</w:t>
            </w:r>
          </w:p>
          <w:p w14:paraId="0970A043" w14:textId="77777777" w:rsidR="0004511E" w:rsidRDefault="0004511E" w:rsidP="008838DB">
            <w:pPr>
              <w:spacing w:after="120"/>
              <w:jc w:val="both"/>
            </w:pPr>
            <w:r w:rsidRPr="003F6FB9">
              <w:t>Prezentul act normativ nu se referă la acest subiect.</w:t>
            </w:r>
          </w:p>
          <w:p w14:paraId="53F02791" w14:textId="3E5E442B" w:rsidR="00770E01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770E01">
              <w:rPr>
                <w:b/>
                <w:bCs/>
              </w:rPr>
              <w:t>6.4. Informații privind puncte de vedere/opinii emise de organisme consul</w:t>
            </w:r>
            <w:r w:rsidR="00842C68">
              <w:rPr>
                <w:b/>
                <w:bCs/>
              </w:rPr>
              <w:t>t</w:t>
            </w:r>
            <w:r w:rsidRPr="00770E01">
              <w:rPr>
                <w:b/>
                <w:bCs/>
              </w:rPr>
              <w:t>ative constituite prin acte normative</w:t>
            </w:r>
          </w:p>
          <w:p w14:paraId="0FF572CC" w14:textId="3F3A66CE" w:rsidR="00770E01" w:rsidRPr="00770E01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770E01">
              <w:rPr>
                <w:b/>
                <w:bCs/>
              </w:rPr>
              <w:t>6.5</w:t>
            </w:r>
            <w:r w:rsidR="004555DD">
              <w:rPr>
                <w:b/>
                <w:bCs/>
              </w:rPr>
              <w:t>.</w:t>
            </w:r>
            <w:r w:rsidRPr="00770E01">
              <w:rPr>
                <w:b/>
                <w:bCs/>
              </w:rPr>
              <w:t xml:space="preserve"> Informații privind avizarea de către:</w:t>
            </w:r>
          </w:p>
          <w:p w14:paraId="3DD2ED4C" w14:textId="434A7742" w:rsidR="00770E01" w:rsidRPr="00AB65BD" w:rsidRDefault="00770E01" w:rsidP="008838DB">
            <w:pPr>
              <w:spacing w:after="120"/>
              <w:jc w:val="both"/>
              <w:rPr>
                <w:bCs/>
              </w:rPr>
            </w:pPr>
            <w:r w:rsidRPr="00AB65BD">
              <w:rPr>
                <w:bCs/>
              </w:rPr>
              <w:lastRenderedPageBreak/>
              <w:t xml:space="preserve">a) Consiliul </w:t>
            </w:r>
            <w:r w:rsidR="008F6907" w:rsidRPr="00AB65BD">
              <w:rPr>
                <w:bCs/>
              </w:rPr>
              <w:t>L</w:t>
            </w:r>
            <w:r w:rsidRPr="00AB65BD">
              <w:rPr>
                <w:bCs/>
              </w:rPr>
              <w:t>egislativ</w:t>
            </w:r>
          </w:p>
          <w:p w14:paraId="5FE65553" w14:textId="15D2A101" w:rsidR="00770E01" w:rsidRPr="00AB65BD" w:rsidRDefault="00770E01" w:rsidP="008838DB">
            <w:pPr>
              <w:spacing w:after="120"/>
              <w:jc w:val="both"/>
            </w:pPr>
            <w:r w:rsidRPr="00AB65BD">
              <w:t>b)</w:t>
            </w:r>
            <w:r w:rsidR="00456611" w:rsidRPr="00AB65BD">
              <w:t xml:space="preserve"> </w:t>
            </w:r>
            <w:r w:rsidRPr="00AB65BD">
              <w:t>Consiliul Suprem de Apărare a Ţării</w:t>
            </w:r>
          </w:p>
          <w:p w14:paraId="22642D64" w14:textId="4C777137" w:rsidR="00770E01" w:rsidRPr="00AB65BD" w:rsidRDefault="00770E01" w:rsidP="008838DB">
            <w:pPr>
              <w:spacing w:after="120"/>
              <w:jc w:val="both"/>
            </w:pPr>
            <w:r w:rsidRPr="00AB65BD">
              <w:t>c)</w:t>
            </w:r>
            <w:r w:rsidR="00456611" w:rsidRPr="00AB65BD">
              <w:t xml:space="preserve"> </w:t>
            </w:r>
            <w:r w:rsidRPr="00AB65BD">
              <w:t>Consiliul Economic şi Social</w:t>
            </w:r>
          </w:p>
          <w:p w14:paraId="782E1FCE" w14:textId="1D3F1A42" w:rsidR="00770E01" w:rsidRPr="00AB65BD" w:rsidRDefault="00770E01" w:rsidP="008838DB">
            <w:pPr>
              <w:spacing w:after="120"/>
              <w:jc w:val="both"/>
            </w:pPr>
            <w:r w:rsidRPr="00AB65BD">
              <w:t>d)</w:t>
            </w:r>
            <w:r w:rsidR="00456611" w:rsidRPr="00AB65BD">
              <w:t xml:space="preserve"> </w:t>
            </w:r>
            <w:r w:rsidRPr="00AB65BD">
              <w:t xml:space="preserve">Consiliul Concurenţei </w:t>
            </w:r>
          </w:p>
          <w:p w14:paraId="7E62C2BF" w14:textId="024FEE6F" w:rsidR="00770E01" w:rsidRPr="00AB65BD" w:rsidRDefault="00770E01" w:rsidP="008838DB">
            <w:pPr>
              <w:spacing w:after="120"/>
              <w:jc w:val="both"/>
            </w:pPr>
            <w:r w:rsidRPr="00AB65BD">
              <w:t>e)</w:t>
            </w:r>
            <w:r w:rsidR="00456611" w:rsidRPr="00AB65BD">
              <w:t xml:space="preserve"> </w:t>
            </w:r>
            <w:r w:rsidRPr="00AB65BD">
              <w:t>Curtea de Conturi</w:t>
            </w:r>
          </w:p>
          <w:p w14:paraId="0D5921FD" w14:textId="77777777" w:rsidR="00770E01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770E01">
              <w:rPr>
                <w:b/>
                <w:bCs/>
              </w:rPr>
              <w:t>6.6. Alte informații</w:t>
            </w:r>
          </w:p>
          <w:p w14:paraId="32E03757" w14:textId="0C64CDF1" w:rsidR="00856FA3" w:rsidRPr="00770E01" w:rsidRDefault="00072622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t>A fost solicitat punct de vedere de la Autoritatea de Audit din cadrul Curții de Conturi.</w:t>
            </w:r>
          </w:p>
        </w:tc>
      </w:tr>
    </w:tbl>
    <w:p w14:paraId="311858C9" w14:textId="77777777" w:rsidR="00770E01" w:rsidRDefault="00670C79" w:rsidP="00351853">
      <w:pPr>
        <w:pStyle w:val="BodyTextIndent2"/>
        <w:spacing w:before="240" w:after="0" w:line="240" w:lineRule="auto"/>
        <w:ind w:right="96" w:firstLine="0"/>
        <w:jc w:val="both"/>
        <w:rPr>
          <w:bCs w:val="0"/>
          <w:sz w:val="24"/>
        </w:rPr>
      </w:pPr>
      <w:r w:rsidRPr="009B381E">
        <w:rPr>
          <w:bCs w:val="0"/>
          <w:sz w:val="24"/>
        </w:rPr>
        <w:lastRenderedPageBreak/>
        <w:t xml:space="preserve">Secţiunea a 7-a  </w:t>
      </w:r>
    </w:p>
    <w:p w14:paraId="45DA67B7" w14:textId="070DA24F" w:rsidR="00260E13" w:rsidRDefault="00670C79" w:rsidP="00351853">
      <w:pPr>
        <w:pStyle w:val="BodyTextIndent2"/>
        <w:spacing w:before="240" w:after="0" w:line="240" w:lineRule="auto"/>
        <w:ind w:right="96" w:firstLine="0"/>
        <w:jc w:val="both"/>
        <w:rPr>
          <w:bCs w:val="0"/>
          <w:sz w:val="24"/>
        </w:rPr>
      </w:pPr>
      <w:r w:rsidRPr="009B381E">
        <w:rPr>
          <w:bCs w:val="0"/>
          <w:sz w:val="24"/>
        </w:rPr>
        <w:t xml:space="preserve">Activităţi de informare publică privind elaborarea şi implementarea </w:t>
      </w:r>
      <w:bookmarkStart w:id="0" w:name="_Hlk100229941"/>
      <w:r w:rsidRPr="009B381E">
        <w:rPr>
          <w:bCs w:val="0"/>
          <w:sz w:val="24"/>
        </w:rPr>
        <w:t>proiectului de act normativ</w:t>
      </w:r>
      <w:bookmarkEnd w:id="0"/>
    </w:p>
    <w:p w14:paraId="141F9C47" w14:textId="77777777" w:rsidR="00EB7FF7" w:rsidRDefault="00EB7FF7" w:rsidP="00351853">
      <w:pPr>
        <w:pStyle w:val="BodyTextIndent2"/>
        <w:spacing w:before="240" w:after="0" w:line="240" w:lineRule="auto"/>
        <w:ind w:right="96" w:firstLine="0"/>
        <w:jc w:val="both"/>
        <w:rPr>
          <w:bCs w:val="0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770E01" w:rsidRPr="009B381E" w14:paraId="416004E3" w14:textId="77777777" w:rsidTr="009B4A5F">
        <w:tc>
          <w:tcPr>
            <w:tcW w:w="10533" w:type="dxa"/>
          </w:tcPr>
          <w:p w14:paraId="29554504" w14:textId="3A9D1767" w:rsidR="00770E01" w:rsidRPr="009E2B37" w:rsidRDefault="00770E01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rPr>
                <w:b/>
                <w:bCs/>
              </w:rPr>
              <w:t xml:space="preserve">7.1. </w:t>
            </w:r>
            <w:r w:rsidR="0053566B" w:rsidRPr="009E2B37">
              <w:rPr>
                <w:b/>
                <w:bCs/>
              </w:rPr>
              <w:t>Informarea societăţii civile cu privire la elaborarea proiectului de act normativ</w:t>
            </w:r>
          </w:p>
          <w:p w14:paraId="14D7DF34" w14:textId="191A174E" w:rsidR="00DD6D7E" w:rsidRPr="009E2B37" w:rsidRDefault="00DD6D7E" w:rsidP="008838DB">
            <w:pPr>
              <w:spacing w:after="120"/>
              <w:jc w:val="both"/>
            </w:pPr>
            <w:r w:rsidRPr="009E2B37">
              <w:t xml:space="preserve">Proiectul de act normativ a fost afișat pe site-ul Ministerului Investitiilor si Proiectelor Europene în data de </w:t>
            </w:r>
            <w:r w:rsidR="00D96FF9">
              <w:t>5 august 2025</w:t>
            </w:r>
            <w:r w:rsidRPr="009E2B37">
              <w:t>, la elaborarea acestuia fiind îndep</w:t>
            </w:r>
            <w:r w:rsidR="00502B25" w:rsidRPr="009E2B37">
              <w:t>linită procedura stabilită potrivit prevederilor art.</w:t>
            </w:r>
            <w:r w:rsidR="00541444" w:rsidRPr="009E2B37">
              <w:t xml:space="preserve"> </w:t>
            </w:r>
            <w:r w:rsidR="00502B25" w:rsidRPr="009E2B37">
              <w:t>7 alin.</w:t>
            </w:r>
            <w:r w:rsidR="00541444" w:rsidRPr="009E2B37">
              <w:t xml:space="preserve"> </w:t>
            </w:r>
            <w:r w:rsidR="00E0403C">
              <w:t>(</w:t>
            </w:r>
            <w:r w:rsidR="00502B25" w:rsidRPr="009E2B37">
              <w:t>13</w:t>
            </w:r>
            <w:r w:rsidR="00E0403C">
              <w:t>)</w:t>
            </w:r>
            <w:r w:rsidR="00502B25" w:rsidRPr="009E2B37">
              <w:t xml:space="preserve"> din </w:t>
            </w:r>
            <w:r w:rsidRPr="009E2B37">
              <w:t>Legea nr. 52/2003 privind transparența decizională în administrația publică, republicată, cu modificările și completările ulterioare.</w:t>
            </w:r>
          </w:p>
          <w:p w14:paraId="347DD5DE" w14:textId="090B498D" w:rsidR="00206397" w:rsidRPr="009E2B37" w:rsidRDefault="00541444" w:rsidP="008E65E3">
            <w:pPr>
              <w:spacing w:after="120"/>
              <w:jc w:val="both"/>
            </w:pPr>
            <w:r w:rsidRPr="009E2B37">
              <w:t>M</w:t>
            </w:r>
            <w:r w:rsidR="00502B25" w:rsidRPr="009E2B37">
              <w:t xml:space="preserve">enționăm că urgența </w:t>
            </w:r>
            <w:r w:rsidR="00B13050" w:rsidRPr="009E2B37">
              <w:t xml:space="preserve">adoptării prezentului </w:t>
            </w:r>
            <w:r w:rsidR="00502B25" w:rsidRPr="009E2B37">
              <w:t>act normativ este motivată de</w:t>
            </w:r>
            <w:r w:rsidR="00A204E2" w:rsidRPr="009E2B37">
              <w:t xml:space="preserve"> </w:t>
            </w:r>
            <w:r w:rsidRPr="009E2B37">
              <w:t xml:space="preserve">faptul că </w:t>
            </w:r>
            <w:r w:rsidR="008E65E3" w:rsidRPr="009E2B37">
              <w:t xml:space="preserve">în conformitate cu </w:t>
            </w:r>
            <w:r w:rsidR="00053DCB" w:rsidRPr="009E2B37">
              <w:t xml:space="preserve">art. LXV,  prevederile art. XV </w:t>
            </w:r>
            <w:r w:rsidR="008E65E3" w:rsidRPr="009E2B37">
              <w:t xml:space="preserve">pct. 4 din Legea nr. 141/2025 privind unele măsuri fiscal-bugetare intră în vigoare începând cu data de 1 august 2025, </w:t>
            </w:r>
            <w:r w:rsidR="00514C81" w:rsidRPr="009E2B37">
              <w:t xml:space="preserve"> cu impact direct asupra drepturilor salariale aferente lunii </w:t>
            </w:r>
            <w:r w:rsidR="008E65E3" w:rsidRPr="009E2B37">
              <w:t>august 2025</w:t>
            </w:r>
            <w:r w:rsidR="00514C81" w:rsidRPr="009E2B37">
              <w:t xml:space="preserve"> pentru care plata trebuie efectuată în cursul lunii </w:t>
            </w:r>
            <w:r w:rsidR="008E65E3" w:rsidRPr="009E2B37">
              <w:t xml:space="preserve">septembrie </w:t>
            </w:r>
            <w:r w:rsidR="00514C81" w:rsidRPr="009E2B37">
              <w:t>202</w:t>
            </w:r>
            <w:r w:rsidR="008E65E3" w:rsidRPr="009E2B37">
              <w:t>5</w:t>
            </w:r>
            <w:r w:rsidRPr="009E2B37">
              <w:t>.</w:t>
            </w:r>
          </w:p>
          <w:p w14:paraId="6C2F925A" w14:textId="596892B1" w:rsidR="00F3415C" w:rsidRPr="009E2B37" w:rsidRDefault="00541444" w:rsidP="008838DB">
            <w:pPr>
              <w:spacing w:after="120"/>
              <w:jc w:val="both"/>
            </w:pPr>
            <w:r w:rsidRPr="009E2B37">
              <w:t xml:space="preserve">În acest context, </w:t>
            </w:r>
            <w:r w:rsidR="00F3415C" w:rsidRPr="009E2B37">
              <w:t xml:space="preserve">pentru </w:t>
            </w:r>
            <w:r w:rsidR="00166625" w:rsidRPr="009E2B37">
              <w:t xml:space="preserve">calcularea salariilor </w:t>
            </w:r>
            <w:r w:rsidR="00514C81" w:rsidRPr="009E2B37">
              <w:t>conform dispozițiilor</w:t>
            </w:r>
            <w:r w:rsidR="00166625" w:rsidRPr="009E2B37">
              <w:t xml:space="preserve"> </w:t>
            </w:r>
            <w:r w:rsidR="008E65E3" w:rsidRPr="009E2B37">
              <w:t xml:space="preserve">Legii nr. 141/2025 privind unele măsuri fiscal-bugetare </w:t>
            </w:r>
            <w:r w:rsidR="00514C81" w:rsidRPr="009E2B37">
              <w:t>este necesară adoptarea în regim de urgență a</w:t>
            </w:r>
            <w:r w:rsidR="00A204E2" w:rsidRPr="009E2B37">
              <w:t xml:space="preserve"> </w:t>
            </w:r>
            <w:r w:rsidR="008E65E3" w:rsidRPr="009E2B37">
              <w:t xml:space="preserve">modificărilor </w:t>
            </w:r>
            <w:r w:rsidR="00A204E2" w:rsidRPr="009E2B37">
              <w:t>prevăzut</w:t>
            </w:r>
            <w:r w:rsidR="008E65E3" w:rsidRPr="009E2B37">
              <w:t>e</w:t>
            </w:r>
            <w:r w:rsidR="00A204E2" w:rsidRPr="009E2B37">
              <w:t xml:space="preserve"> la art. 17 alin. (1)</w:t>
            </w:r>
            <w:r w:rsidR="008E65E3" w:rsidRPr="009E2B37">
              <w:t>-</w:t>
            </w:r>
            <w:r w:rsidR="00514C81" w:rsidRPr="009E2B37">
              <w:t xml:space="preserve"> </w:t>
            </w:r>
            <w:r w:rsidR="00A204E2" w:rsidRPr="009E2B37">
              <w:t>(2</w:t>
            </w:r>
            <w:r w:rsidR="00A204E2" w:rsidRPr="009E2B37">
              <w:rPr>
                <w:vertAlign w:val="superscript"/>
              </w:rPr>
              <w:t>1</w:t>
            </w:r>
            <w:r w:rsidR="00A204E2" w:rsidRPr="009E2B37">
              <w:t>) din Legea nr. 153/2017</w:t>
            </w:r>
            <w:r w:rsidR="00514C81" w:rsidRPr="009E2B37">
              <w:t xml:space="preserve"> </w:t>
            </w:r>
            <w:r w:rsidR="00A204E2" w:rsidRPr="009E2B37">
              <w:t>privind salarizarea personalului plătit din fonduri publice</w:t>
            </w:r>
            <w:r w:rsidR="00B13050" w:rsidRPr="009E2B37">
              <w:t>,</w:t>
            </w:r>
            <w:r w:rsidR="00514C81" w:rsidRPr="009E2B37">
              <w:t xml:space="preserve"> cu modificările și completările ulterioare</w:t>
            </w:r>
            <w:r w:rsidR="00A204E2" w:rsidRPr="009E2B37">
              <w:t>.</w:t>
            </w:r>
          </w:p>
          <w:p w14:paraId="5C38294E" w14:textId="5FDC29D5" w:rsidR="00514C81" w:rsidRPr="009E2B37" w:rsidRDefault="00514C81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t xml:space="preserve">În absența </w:t>
            </w:r>
            <w:r w:rsidR="00BF7D51" w:rsidRPr="009E2B37">
              <w:t xml:space="preserve">adoptării </w:t>
            </w:r>
            <w:r w:rsidRPr="009E2B37">
              <w:t>în regim de urgență a prezentului proiect</w:t>
            </w:r>
            <w:r w:rsidR="00B13050" w:rsidRPr="009E2B37">
              <w:t xml:space="preserve"> de act normativ</w:t>
            </w:r>
            <w:r w:rsidR="00BF7D51" w:rsidRPr="009E2B37">
              <w:t xml:space="preserve"> există riscul ca instituțiile și autoritățile publice care gestionează fonduri europene rambursabile și nerambursabile, în cadrul cărora sunt încadrați funcționari </w:t>
            </w:r>
            <w:r w:rsidR="00053DCB" w:rsidRPr="009E2B37">
              <w:t xml:space="preserve">publici </w:t>
            </w:r>
            <w:r w:rsidR="00BF7D51" w:rsidRPr="009E2B37">
              <w:t>care beneficiază de dispozițiile art.17 alin. (1)</w:t>
            </w:r>
            <w:r w:rsidR="008E65E3" w:rsidRPr="009E2B37">
              <w:t>-</w:t>
            </w:r>
            <w:r w:rsidR="00BF7D51" w:rsidRPr="009E2B37">
              <w:t>(2</w:t>
            </w:r>
            <w:r w:rsidR="00BF7D51" w:rsidRPr="009E2B37">
              <w:rPr>
                <w:vertAlign w:val="superscript"/>
              </w:rPr>
              <w:t>1</w:t>
            </w:r>
            <w:r w:rsidR="00BF7D51" w:rsidRPr="009E2B37">
              <w:t xml:space="preserve">) din Legea nr. 153/2017, să facă obiectul unor litigii </w:t>
            </w:r>
            <w:r w:rsidR="00B13050" w:rsidRPr="009E2B37">
              <w:t>de muncă</w:t>
            </w:r>
            <w:r w:rsidR="00BF7D51" w:rsidRPr="009E2B37">
              <w:t>, aspect de natură să</w:t>
            </w:r>
            <w:r w:rsidR="00B13050" w:rsidRPr="009E2B37">
              <w:t xml:space="preserve"> conducă la </w:t>
            </w:r>
            <w:r w:rsidR="00BF7D51" w:rsidRPr="009E2B37">
              <w:t xml:space="preserve"> grev</w:t>
            </w:r>
            <w:r w:rsidR="00B13050" w:rsidRPr="009E2B37">
              <w:t>area bugetului de stat.</w:t>
            </w:r>
          </w:p>
          <w:p w14:paraId="3695E7F7" w14:textId="18033C57" w:rsidR="0053566B" w:rsidRPr="009E2B37" w:rsidRDefault="0053566B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rPr>
                <w:b/>
                <w:bCs/>
              </w:rPr>
              <w:t>7.2. Informarea societăţii civile cu privire la e</w:t>
            </w:r>
            <w:r w:rsidR="008F6907" w:rsidRPr="009E2B37">
              <w:rPr>
                <w:b/>
                <w:bCs/>
              </w:rPr>
              <w:t>v</w:t>
            </w:r>
            <w:r w:rsidRPr="009E2B37">
              <w:rPr>
                <w:b/>
                <w:bCs/>
              </w:rPr>
              <w:t>entualul impact asupra mediului în urma implementării proiectului de act normativ, precum și efectele asupra sănătății și securității cetățenilor sau diversității biologice</w:t>
            </w:r>
          </w:p>
          <w:p w14:paraId="4F2E9D63" w14:textId="6AD3B600" w:rsidR="002F1A9F" w:rsidRPr="009E2B37" w:rsidRDefault="002F1A9F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t>Prezentul act normativ nu se referă la acest subiect.</w:t>
            </w:r>
          </w:p>
          <w:p w14:paraId="08B3B8E2" w14:textId="77777777" w:rsidR="008F6907" w:rsidRPr="009E2B37" w:rsidRDefault="008F6907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rPr>
                <w:b/>
                <w:bCs/>
              </w:rPr>
              <w:t>7.3. Alte informații</w:t>
            </w:r>
          </w:p>
          <w:p w14:paraId="6A2C5259" w14:textId="55DD1177" w:rsidR="0097156C" w:rsidRPr="008F6907" w:rsidRDefault="0097156C" w:rsidP="008838DB">
            <w:pPr>
              <w:spacing w:after="120"/>
              <w:jc w:val="both"/>
              <w:rPr>
                <w:b/>
                <w:bCs/>
              </w:rPr>
            </w:pPr>
            <w:r w:rsidRPr="009E2B37">
              <w:t>Nu au fost identificate.</w:t>
            </w:r>
          </w:p>
        </w:tc>
      </w:tr>
    </w:tbl>
    <w:p w14:paraId="341152AF" w14:textId="3775C794" w:rsidR="0053566B" w:rsidRDefault="00670C79" w:rsidP="00351853">
      <w:pPr>
        <w:spacing w:before="240"/>
        <w:rPr>
          <w:b/>
        </w:rPr>
      </w:pPr>
      <w:r w:rsidRPr="009B381E">
        <w:rPr>
          <w:b/>
        </w:rPr>
        <w:t>Secţiunea a 8- a</w:t>
      </w:r>
      <w:r w:rsidR="002E20A6">
        <w:rPr>
          <w:b/>
        </w:rPr>
        <w:t xml:space="preserve"> </w:t>
      </w:r>
      <w:r w:rsidRPr="009B381E">
        <w:rPr>
          <w:b/>
        </w:rPr>
        <w:t xml:space="preserve"> </w:t>
      </w:r>
    </w:p>
    <w:p w14:paraId="16F7B019" w14:textId="7EF7585A" w:rsidR="00351853" w:rsidRDefault="00670C79" w:rsidP="00351853">
      <w:pPr>
        <w:rPr>
          <w:b/>
        </w:rPr>
      </w:pPr>
      <w:r w:rsidRPr="009B381E">
        <w:rPr>
          <w:b/>
        </w:rPr>
        <w:t xml:space="preserve">Măsuri </w:t>
      </w:r>
      <w:r w:rsidR="0053566B">
        <w:rPr>
          <w:b/>
        </w:rPr>
        <w:t>privind</w:t>
      </w:r>
      <w:r w:rsidRPr="009B381E">
        <w:rPr>
          <w:b/>
        </w:rPr>
        <w:t xml:space="preserve"> implementare</w:t>
      </w:r>
      <w:r w:rsidR="0053566B">
        <w:rPr>
          <w:b/>
        </w:rPr>
        <w:t xml:space="preserve">a, monitorizarea și evaluarea </w:t>
      </w:r>
      <w:r w:rsidR="0053566B" w:rsidRPr="0053566B">
        <w:rPr>
          <w:b/>
        </w:rPr>
        <w:t>proiectului de act normativ</w:t>
      </w:r>
    </w:p>
    <w:p w14:paraId="483EF5F7" w14:textId="77777777" w:rsidR="00053DCB" w:rsidRPr="009B381E" w:rsidRDefault="00053DCB" w:rsidP="00351853">
      <w:pPr>
        <w:rPr>
          <w:b/>
        </w:rPr>
      </w:pPr>
    </w:p>
    <w:tbl>
      <w:tblPr>
        <w:tblW w:w="10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3"/>
      </w:tblGrid>
      <w:tr w:rsidR="0053566B" w:rsidRPr="009B381E" w14:paraId="554BFAFC" w14:textId="77777777" w:rsidTr="009B4A5F">
        <w:tc>
          <w:tcPr>
            <w:tcW w:w="10553" w:type="dxa"/>
          </w:tcPr>
          <w:p w14:paraId="560280B7" w14:textId="452BF905" w:rsidR="0053566B" w:rsidRDefault="0053566B" w:rsidP="005048C3">
            <w:pPr>
              <w:pStyle w:val="Heading1"/>
              <w:spacing w:line="240" w:lineRule="auto"/>
              <w:jc w:val="both"/>
              <w:rPr>
                <w:b/>
                <w:bCs/>
                <w:sz w:val="24"/>
              </w:rPr>
            </w:pPr>
            <w:r w:rsidRPr="0053566B">
              <w:rPr>
                <w:b/>
                <w:bCs/>
                <w:sz w:val="24"/>
              </w:rPr>
              <w:t>8.1. Măsuri de punere în aplicare a proiectului de act normativ</w:t>
            </w:r>
          </w:p>
          <w:p w14:paraId="173BA10C" w14:textId="523F6F53" w:rsidR="00F422FE" w:rsidRPr="003F6FB9" w:rsidRDefault="00F422FE" w:rsidP="005048C3">
            <w:pPr>
              <w:jc w:val="both"/>
            </w:pPr>
            <w:r w:rsidRPr="003F6FB9">
              <w:t>Actul normativ nu se referă la acest subiect.</w:t>
            </w:r>
          </w:p>
          <w:p w14:paraId="1820F422" w14:textId="77777777" w:rsidR="0053566B" w:rsidRDefault="0053566B" w:rsidP="005048C3">
            <w:pPr>
              <w:rPr>
                <w:b/>
                <w:bCs/>
              </w:rPr>
            </w:pPr>
            <w:r w:rsidRPr="0053566B">
              <w:rPr>
                <w:b/>
                <w:bCs/>
              </w:rPr>
              <w:t>8.2. Alte informaţii</w:t>
            </w:r>
          </w:p>
          <w:p w14:paraId="799D5A68" w14:textId="77777777" w:rsidR="00CB40CD" w:rsidRDefault="00CB40CD" w:rsidP="005048C3"/>
          <w:p w14:paraId="3837F202" w14:textId="31E6AD91" w:rsidR="00F422FE" w:rsidRPr="0053566B" w:rsidRDefault="00F422FE" w:rsidP="005048C3">
            <w:r w:rsidRPr="003F6FB9">
              <w:t>Nu au fost identificate.</w:t>
            </w:r>
          </w:p>
        </w:tc>
      </w:tr>
    </w:tbl>
    <w:p w14:paraId="4B01848D" w14:textId="732158C4" w:rsidR="00053DCB" w:rsidRDefault="00053DCB" w:rsidP="00AD0FCB">
      <w:pPr>
        <w:jc w:val="both"/>
      </w:pPr>
    </w:p>
    <w:p w14:paraId="61575C80" w14:textId="77777777" w:rsidR="00053DCB" w:rsidRDefault="00053DCB">
      <w:pPr>
        <w:spacing w:after="160" w:line="259" w:lineRule="auto"/>
      </w:pPr>
      <w:r>
        <w:br w:type="page"/>
      </w:r>
    </w:p>
    <w:p w14:paraId="065E8502" w14:textId="77777777" w:rsidR="005A1B09" w:rsidRDefault="005A1B09" w:rsidP="00AD0FCB">
      <w:pPr>
        <w:jc w:val="both"/>
      </w:pPr>
    </w:p>
    <w:p w14:paraId="23490EDB" w14:textId="679C6BB9" w:rsidR="006F3F80" w:rsidRDefault="006F3F80" w:rsidP="006F3F80">
      <w:pPr>
        <w:ind w:right="-94"/>
        <w:jc w:val="both"/>
      </w:pPr>
      <w:r w:rsidRPr="003F6FB9">
        <w:t xml:space="preserve">Faţă de cele prezentate, a fost elaborat prezentul proiect de </w:t>
      </w:r>
      <w:r w:rsidRPr="003F6FB9">
        <w:rPr>
          <w:b/>
        </w:rPr>
        <w:t xml:space="preserve">Hotărâre a </w:t>
      </w:r>
      <w:r w:rsidR="00D67A1A" w:rsidRPr="00D67A1A">
        <w:rPr>
          <w:b/>
        </w:rPr>
        <w:t xml:space="preserve">Guvernului </w:t>
      </w:r>
      <w:r w:rsidR="007D2E00" w:rsidRPr="007D2E00">
        <w:rPr>
          <w:b/>
        </w:rPr>
        <w:t>privind</w:t>
      </w:r>
      <w:r w:rsidR="00D67A1A" w:rsidRPr="00D67A1A">
        <w:rPr>
          <w:b/>
        </w:rPr>
        <w:t xml:space="preserve"> modificarea </w:t>
      </w:r>
      <w:r w:rsidR="00AC4FDA" w:rsidRPr="00AC4FDA">
        <w:rPr>
          <w:b/>
        </w:rPr>
        <w:t>Hotărârii Guvernului nr. 29/2018 pentru stabilirea criteriilor pe baza cărora se aplică majorarea prevăzută la art. 17 alin. (1) - (2</w:t>
      </w:r>
      <w:r w:rsidR="00AC4FDA" w:rsidRPr="001A0335">
        <w:rPr>
          <w:b/>
          <w:vertAlign w:val="superscript"/>
        </w:rPr>
        <w:t>1</w:t>
      </w:r>
      <w:r w:rsidR="00AC4FDA" w:rsidRPr="00AC4FDA">
        <w:rPr>
          <w:b/>
        </w:rPr>
        <w:t>) din Legea-cadru nr. 153/2017 privind salarizarea personalului plătit din fonduri publice</w:t>
      </w:r>
      <w:r w:rsidRPr="003F6FB9">
        <w:t>, care, în forma prezentată, a fost avizat de ministerele interesate şi pe care îl supunem adoptării.</w:t>
      </w:r>
    </w:p>
    <w:p w14:paraId="1640F616" w14:textId="77777777" w:rsidR="006D762A" w:rsidRDefault="006D762A" w:rsidP="006F3F80">
      <w:pPr>
        <w:ind w:right="-94"/>
        <w:jc w:val="both"/>
        <w:rPr>
          <w:rFonts w:eastAsia="Calibri"/>
          <w:lang w:eastAsia="ro-RO"/>
        </w:rPr>
      </w:pPr>
    </w:p>
    <w:p w14:paraId="5D09C1CF" w14:textId="77777777" w:rsidR="008D2534" w:rsidRDefault="008D2534" w:rsidP="006F3F80">
      <w:pPr>
        <w:ind w:right="-94"/>
        <w:jc w:val="both"/>
        <w:rPr>
          <w:rFonts w:eastAsia="Calibri"/>
          <w:lang w:eastAsia="ro-RO"/>
        </w:rPr>
      </w:pPr>
    </w:p>
    <w:p w14:paraId="278EBA6A" w14:textId="77777777" w:rsidR="008D2534" w:rsidRDefault="008D2534" w:rsidP="006F3F80">
      <w:pPr>
        <w:ind w:right="-94"/>
        <w:jc w:val="both"/>
        <w:rPr>
          <w:rFonts w:eastAsia="Calibri"/>
          <w:lang w:eastAsia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9E2B37" w14:paraId="33AA1963" w14:textId="77777777" w:rsidTr="00671957">
        <w:tc>
          <w:tcPr>
            <w:tcW w:w="10528" w:type="dxa"/>
          </w:tcPr>
          <w:p w14:paraId="2B4BB8C9" w14:textId="77777777" w:rsidR="009E2B37" w:rsidRDefault="009E2B37" w:rsidP="008D2534">
            <w:pPr>
              <w:jc w:val="center"/>
              <w:rPr>
                <w:b/>
              </w:rPr>
            </w:pPr>
          </w:p>
          <w:p w14:paraId="12FCC446" w14:textId="77777777" w:rsidR="009E2B37" w:rsidRDefault="009E2B37" w:rsidP="008D2534">
            <w:pPr>
              <w:jc w:val="center"/>
              <w:rPr>
                <w:b/>
              </w:rPr>
            </w:pPr>
            <w:r w:rsidRPr="003F6FB9">
              <w:rPr>
                <w:b/>
              </w:rPr>
              <w:t xml:space="preserve">MINISTRUL </w:t>
            </w:r>
            <w:r>
              <w:rPr>
                <w:b/>
              </w:rPr>
              <w:t>INVESTIȚIILOR ȘI PROIECTELOR EUROPENE</w:t>
            </w:r>
          </w:p>
          <w:p w14:paraId="06026F53" w14:textId="77777777" w:rsidR="009E2B37" w:rsidRDefault="009E2B37" w:rsidP="008D2534">
            <w:pPr>
              <w:jc w:val="center"/>
              <w:rPr>
                <w:b/>
              </w:rPr>
            </w:pPr>
          </w:p>
          <w:p w14:paraId="03888DD6" w14:textId="77777777" w:rsidR="009E2B37" w:rsidRDefault="009E2B37" w:rsidP="009E2B37">
            <w:pPr>
              <w:ind w:right="-94"/>
              <w:jc w:val="center"/>
              <w:rPr>
                <w:rFonts w:eastAsia="Calibri"/>
                <w:lang w:eastAsia="ro-RO"/>
              </w:rPr>
            </w:pPr>
            <w:r w:rsidRPr="00C8623C">
              <w:rPr>
                <w:b/>
              </w:rPr>
              <w:t>DRAGOŞ-NICOLAE PÎSLARU</w:t>
            </w:r>
          </w:p>
          <w:p w14:paraId="3FDF29ED" w14:textId="267577FB" w:rsidR="009E2B37" w:rsidRDefault="009E2B37" w:rsidP="008D2534">
            <w:pPr>
              <w:jc w:val="center"/>
              <w:rPr>
                <w:b/>
              </w:rPr>
            </w:pPr>
          </w:p>
          <w:p w14:paraId="43637A80" w14:textId="77777777" w:rsidR="009E2B37" w:rsidRDefault="009E2B37" w:rsidP="008D2534">
            <w:pPr>
              <w:ind w:right="-94"/>
              <w:jc w:val="center"/>
              <w:rPr>
                <w:b/>
                <w:lang w:eastAsia="ro-RO"/>
              </w:rPr>
            </w:pPr>
          </w:p>
          <w:p w14:paraId="50F26897" w14:textId="77777777" w:rsidR="009E2B37" w:rsidRDefault="009E2B37" w:rsidP="008D2534">
            <w:pPr>
              <w:ind w:right="-94"/>
              <w:jc w:val="center"/>
              <w:rPr>
                <w:b/>
                <w:lang w:eastAsia="ro-RO"/>
              </w:rPr>
            </w:pPr>
          </w:p>
          <w:p w14:paraId="66B472EF" w14:textId="17728471" w:rsidR="009E2B37" w:rsidRDefault="009E2B37" w:rsidP="009E2B37">
            <w:pPr>
              <w:ind w:right="-94"/>
              <w:jc w:val="center"/>
              <w:rPr>
                <w:rFonts w:eastAsia="Calibri"/>
                <w:lang w:eastAsia="ro-RO"/>
              </w:rPr>
            </w:pPr>
          </w:p>
        </w:tc>
      </w:tr>
    </w:tbl>
    <w:p w14:paraId="529DBB88" w14:textId="77777777" w:rsidR="008D2534" w:rsidRPr="003F6FB9" w:rsidRDefault="008D2534" w:rsidP="006F3F80">
      <w:pPr>
        <w:ind w:right="-94"/>
        <w:jc w:val="both"/>
        <w:rPr>
          <w:rFonts w:eastAsia="Calibri"/>
          <w:lang w:eastAsia="ro-RO"/>
        </w:rPr>
      </w:pPr>
    </w:p>
    <w:p w14:paraId="44CB9A36" w14:textId="1CE62961" w:rsidR="006F3F80" w:rsidRDefault="006F3F80" w:rsidP="006F3F80">
      <w:pPr>
        <w:autoSpaceDE w:val="0"/>
        <w:autoSpaceDN w:val="0"/>
        <w:adjustRightInd w:val="0"/>
        <w:spacing w:line="276" w:lineRule="auto"/>
        <w:ind w:left="-567" w:right="-450" w:firstLine="450"/>
        <w:jc w:val="both"/>
        <w:rPr>
          <w:rFonts w:eastAsia="Calibri"/>
          <w:lang w:eastAsia="ro-RO"/>
        </w:rPr>
      </w:pPr>
    </w:p>
    <w:p w14:paraId="51E7DB5D" w14:textId="77777777" w:rsidR="006F3F80" w:rsidRPr="003F6FB9" w:rsidRDefault="006F3F80" w:rsidP="006F3F80">
      <w:pPr>
        <w:spacing w:line="360" w:lineRule="auto"/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71957" w14:paraId="3BB5F5FD" w14:textId="77777777" w:rsidTr="00104265">
        <w:trPr>
          <w:trHeight w:val="838"/>
        </w:trPr>
        <w:tc>
          <w:tcPr>
            <w:tcW w:w="10528" w:type="dxa"/>
          </w:tcPr>
          <w:p w14:paraId="4424B9EF" w14:textId="77777777" w:rsidR="00671957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FFDF0D2" w14:textId="3B6A961C" w:rsidR="00671957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AVIZATOR</w:t>
            </w:r>
            <w:r w:rsidRPr="008D2534">
              <w:rPr>
                <w:b/>
              </w:rPr>
              <w:t>:</w:t>
            </w:r>
          </w:p>
          <w:p w14:paraId="5C0C90D0" w14:textId="77777777" w:rsidR="00671957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91C644F" w14:textId="77777777" w:rsidR="00671957" w:rsidRPr="008D2534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0141285C" w14:textId="77777777" w:rsidR="00671957" w:rsidRDefault="00671957" w:rsidP="003316C9">
            <w:pPr>
              <w:jc w:val="center"/>
              <w:rPr>
                <w:b/>
              </w:rPr>
            </w:pPr>
          </w:p>
        </w:tc>
      </w:tr>
      <w:tr w:rsidR="00671957" w:rsidRPr="008D2534" w14:paraId="0A0005F6" w14:textId="77777777" w:rsidTr="00104265">
        <w:tc>
          <w:tcPr>
            <w:tcW w:w="10528" w:type="dxa"/>
          </w:tcPr>
          <w:p w14:paraId="07B8E2B0" w14:textId="77777777" w:rsidR="00671957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5ADD1C71" w14:textId="77777777" w:rsidR="00671957" w:rsidRPr="008D2534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2534">
              <w:rPr>
                <w:b/>
              </w:rPr>
              <w:t>MINISTRUL JUSTIŢIEI</w:t>
            </w:r>
          </w:p>
          <w:p w14:paraId="6F98FA78" w14:textId="77777777" w:rsidR="00671957" w:rsidRPr="008D2534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5ACDC6D4" w14:textId="77777777" w:rsidR="00671957" w:rsidRPr="008D2534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2534">
              <w:rPr>
                <w:b/>
              </w:rPr>
              <w:t>RADU MARINESCU</w:t>
            </w:r>
          </w:p>
          <w:p w14:paraId="235188F6" w14:textId="77777777" w:rsidR="00671957" w:rsidRPr="008D2534" w:rsidRDefault="00671957" w:rsidP="003316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09223255" w14:textId="77777777" w:rsidR="008D2534" w:rsidRPr="008D2534" w:rsidRDefault="008D2534" w:rsidP="008D2534">
      <w:pPr>
        <w:widowControl w:val="0"/>
        <w:autoSpaceDE w:val="0"/>
        <w:autoSpaceDN w:val="0"/>
        <w:adjustRightInd w:val="0"/>
        <w:rPr>
          <w:b/>
        </w:rPr>
      </w:pPr>
    </w:p>
    <w:p w14:paraId="7FF18EE3" w14:textId="77777777" w:rsidR="008D2534" w:rsidRPr="008D2534" w:rsidRDefault="008D2534" w:rsidP="008D2534">
      <w:pPr>
        <w:widowControl w:val="0"/>
        <w:autoSpaceDE w:val="0"/>
        <w:autoSpaceDN w:val="0"/>
        <w:adjustRightInd w:val="0"/>
        <w:rPr>
          <w:b/>
        </w:rPr>
      </w:pPr>
    </w:p>
    <w:p w14:paraId="71039A84" w14:textId="77777777" w:rsidR="008D2534" w:rsidRPr="008D2534" w:rsidRDefault="008D2534" w:rsidP="008D2534">
      <w:pPr>
        <w:widowControl w:val="0"/>
        <w:autoSpaceDE w:val="0"/>
        <w:autoSpaceDN w:val="0"/>
        <w:adjustRightInd w:val="0"/>
        <w:rPr>
          <w:b/>
        </w:rPr>
      </w:pPr>
    </w:p>
    <w:p w14:paraId="27A25B13" w14:textId="3AAABF72" w:rsidR="008D2534" w:rsidRPr="008D2534" w:rsidRDefault="008D2534" w:rsidP="00B67D80">
      <w:pPr>
        <w:widowControl w:val="0"/>
        <w:autoSpaceDE w:val="0"/>
        <w:autoSpaceDN w:val="0"/>
        <w:adjustRightInd w:val="0"/>
        <w:rPr>
          <w:b/>
        </w:rPr>
      </w:pPr>
      <w:r w:rsidRPr="008D2534">
        <w:rPr>
          <w:b/>
        </w:rPr>
        <w:tab/>
        <w:t xml:space="preserve"> </w:t>
      </w:r>
    </w:p>
    <w:p w14:paraId="1A8CAD10" w14:textId="77777777" w:rsidR="008D2534" w:rsidRPr="008D2534" w:rsidRDefault="008D2534" w:rsidP="008D2534">
      <w:pPr>
        <w:widowControl w:val="0"/>
        <w:autoSpaceDE w:val="0"/>
        <w:autoSpaceDN w:val="0"/>
        <w:adjustRightInd w:val="0"/>
        <w:rPr>
          <w:b/>
        </w:rPr>
      </w:pPr>
    </w:p>
    <w:p w14:paraId="21D80B64" w14:textId="77777777" w:rsidR="008D2534" w:rsidRPr="008D2534" w:rsidRDefault="008D2534" w:rsidP="008D2534">
      <w:pPr>
        <w:widowControl w:val="0"/>
        <w:autoSpaceDE w:val="0"/>
        <w:autoSpaceDN w:val="0"/>
        <w:adjustRightInd w:val="0"/>
        <w:rPr>
          <w:b/>
        </w:rPr>
      </w:pPr>
    </w:p>
    <w:p w14:paraId="7839C73A" w14:textId="77777777" w:rsidR="008D2534" w:rsidRPr="008D2534" w:rsidRDefault="008D2534" w:rsidP="008D2534">
      <w:pPr>
        <w:widowControl w:val="0"/>
        <w:autoSpaceDE w:val="0"/>
        <w:autoSpaceDN w:val="0"/>
        <w:adjustRightInd w:val="0"/>
        <w:rPr>
          <w:b/>
        </w:rPr>
      </w:pPr>
    </w:p>
    <w:p w14:paraId="284DFF89" w14:textId="18FCC34F" w:rsidR="00936F16" w:rsidRDefault="00936F16" w:rsidP="006F3F80">
      <w:pPr>
        <w:widowControl w:val="0"/>
        <w:autoSpaceDE w:val="0"/>
        <w:autoSpaceDN w:val="0"/>
        <w:adjustRightInd w:val="0"/>
        <w:rPr>
          <w:b/>
          <w:color w:val="000000" w:themeColor="text1"/>
        </w:rPr>
      </w:pPr>
    </w:p>
    <w:sectPr w:rsidR="00936F16" w:rsidSect="00AC4FDA">
      <w:pgSz w:w="12240" w:h="15840"/>
      <w:pgMar w:top="73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B024" w14:textId="77777777" w:rsidR="00592437" w:rsidRDefault="00592437">
      <w:r>
        <w:separator/>
      </w:r>
    </w:p>
  </w:endnote>
  <w:endnote w:type="continuationSeparator" w:id="0">
    <w:p w14:paraId="26DFDA00" w14:textId="77777777" w:rsidR="00592437" w:rsidRDefault="0059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BA45" w14:textId="77777777" w:rsidR="00592437" w:rsidRDefault="00592437">
      <w:r>
        <w:separator/>
      </w:r>
    </w:p>
  </w:footnote>
  <w:footnote w:type="continuationSeparator" w:id="0">
    <w:p w14:paraId="74AF9DCE" w14:textId="77777777" w:rsidR="00592437" w:rsidRDefault="00592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D6DA0"/>
    <w:multiLevelType w:val="hybridMultilevel"/>
    <w:tmpl w:val="11DCA0EC"/>
    <w:lvl w:ilvl="0" w:tplc="B52A923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BD465A5"/>
    <w:multiLevelType w:val="hybridMultilevel"/>
    <w:tmpl w:val="55CA82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E0729"/>
    <w:multiLevelType w:val="hybridMultilevel"/>
    <w:tmpl w:val="F19C73CA"/>
    <w:lvl w:ilvl="0" w:tplc="B44A2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A3863"/>
    <w:multiLevelType w:val="hybridMultilevel"/>
    <w:tmpl w:val="8F3EDD4E"/>
    <w:lvl w:ilvl="0" w:tplc="FF422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885"/>
    <w:multiLevelType w:val="hybridMultilevel"/>
    <w:tmpl w:val="228A6CCC"/>
    <w:lvl w:ilvl="0" w:tplc="788AA9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E4C7C"/>
    <w:multiLevelType w:val="hybridMultilevel"/>
    <w:tmpl w:val="D86E85CE"/>
    <w:lvl w:ilvl="0" w:tplc="788AA9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53BA"/>
    <w:multiLevelType w:val="hybridMultilevel"/>
    <w:tmpl w:val="45C28810"/>
    <w:lvl w:ilvl="0" w:tplc="4FDAAFB6">
      <w:start w:val="10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893599"/>
    <w:multiLevelType w:val="hybridMultilevel"/>
    <w:tmpl w:val="55A28498"/>
    <w:lvl w:ilvl="0" w:tplc="20305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44534"/>
    <w:multiLevelType w:val="hybridMultilevel"/>
    <w:tmpl w:val="43080876"/>
    <w:lvl w:ilvl="0" w:tplc="52A87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3487A"/>
    <w:multiLevelType w:val="hybridMultilevel"/>
    <w:tmpl w:val="76A40B7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E3BB0"/>
    <w:multiLevelType w:val="hybridMultilevel"/>
    <w:tmpl w:val="81C2583E"/>
    <w:lvl w:ilvl="0" w:tplc="0D6C67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2433A"/>
    <w:multiLevelType w:val="hybridMultilevel"/>
    <w:tmpl w:val="E2EADF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52AF1"/>
    <w:multiLevelType w:val="multilevel"/>
    <w:tmpl w:val="48A6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D1365F"/>
    <w:multiLevelType w:val="hybridMultilevel"/>
    <w:tmpl w:val="576421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77CEE"/>
    <w:multiLevelType w:val="hybridMultilevel"/>
    <w:tmpl w:val="11DCA0EC"/>
    <w:lvl w:ilvl="0" w:tplc="B52A923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470E32DD"/>
    <w:multiLevelType w:val="hybridMultilevel"/>
    <w:tmpl w:val="45C28810"/>
    <w:lvl w:ilvl="0" w:tplc="4FDAAFB6">
      <w:start w:val="10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8F7424F"/>
    <w:multiLevelType w:val="hybridMultilevel"/>
    <w:tmpl w:val="1E82A0E4"/>
    <w:lvl w:ilvl="0" w:tplc="0418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E1D40AD"/>
    <w:multiLevelType w:val="hybridMultilevel"/>
    <w:tmpl w:val="EFF2C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142E2"/>
    <w:multiLevelType w:val="hybridMultilevel"/>
    <w:tmpl w:val="3796DF16"/>
    <w:lvl w:ilvl="0" w:tplc="A4DC1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A631FA"/>
    <w:multiLevelType w:val="hybridMultilevel"/>
    <w:tmpl w:val="D68EB3A2"/>
    <w:lvl w:ilvl="0" w:tplc="EE562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F1295"/>
    <w:multiLevelType w:val="hybridMultilevel"/>
    <w:tmpl w:val="0CF8F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149B5"/>
    <w:multiLevelType w:val="hybridMultilevel"/>
    <w:tmpl w:val="C32CF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87E24"/>
    <w:multiLevelType w:val="hybridMultilevel"/>
    <w:tmpl w:val="84C4FC1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241989603">
    <w:abstractNumId w:val="1"/>
  </w:num>
  <w:num w:numId="2" w16cid:durableId="1717241613">
    <w:abstractNumId w:val="22"/>
  </w:num>
  <w:num w:numId="3" w16cid:durableId="388068058">
    <w:abstractNumId w:val="19"/>
  </w:num>
  <w:num w:numId="4" w16cid:durableId="2123844250">
    <w:abstractNumId w:val="3"/>
  </w:num>
  <w:num w:numId="5" w16cid:durableId="1451243119">
    <w:abstractNumId w:val="12"/>
  </w:num>
  <w:num w:numId="6" w16cid:durableId="1053850118">
    <w:abstractNumId w:val="21"/>
  </w:num>
  <w:num w:numId="7" w16cid:durableId="1733691776">
    <w:abstractNumId w:val="10"/>
  </w:num>
  <w:num w:numId="8" w16cid:durableId="17890852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793675">
    <w:abstractNumId w:val="20"/>
  </w:num>
  <w:num w:numId="10" w16cid:durableId="123080157">
    <w:abstractNumId w:val="17"/>
  </w:num>
  <w:num w:numId="11" w16cid:durableId="1500539933">
    <w:abstractNumId w:val="13"/>
  </w:num>
  <w:num w:numId="12" w16cid:durableId="667056180">
    <w:abstractNumId w:val="9"/>
  </w:num>
  <w:num w:numId="13" w16cid:durableId="626550952">
    <w:abstractNumId w:val="4"/>
  </w:num>
  <w:num w:numId="14" w16cid:durableId="1145467727">
    <w:abstractNumId w:val="7"/>
  </w:num>
  <w:num w:numId="15" w16cid:durableId="511338479">
    <w:abstractNumId w:val="14"/>
  </w:num>
  <w:num w:numId="16" w16cid:durableId="291442575">
    <w:abstractNumId w:val="6"/>
  </w:num>
  <w:num w:numId="17" w16cid:durableId="212891827">
    <w:abstractNumId w:val="2"/>
  </w:num>
  <w:num w:numId="18" w16cid:durableId="285548857">
    <w:abstractNumId w:val="0"/>
  </w:num>
  <w:num w:numId="19" w16cid:durableId="690447644">
    <w:abstractNumId w:val="15"/>
  </w:num>
  <w:num w:numId="20" w16cid:durableId="2087533735">
    <w:abstractNumId w:val="16"/>
  </w:num>
  <w:num w:numId="21" w16cid:durableId="1260941148">
    <w:abstractNumId w:val="11"/>
  </w:num>
  <w:num w:numId="22" w16cid:durableId="220484501">
    <w:abstractNumId w:val="8"/>
  </w:num>
  <w:num w:numId="23" w16cid:durableId="1915553535">
    <w:abstractNumId w:val="5"/>
  </w:num>
  <w:num w:numId="24" w16cid:durableId="4088142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gutterAtTop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A6"/>
    <w:rsid w:val="000019B6"/>
    <w:rsid w:val="00002E4A"/>
    <w:rsid w:val="000040A1"/>
    <w:rsid w:val="000042B4"/>
    <w:rsid w:val="00006F20"/>
    <w:rsid w:val="0000707B"/>
    <w:rsid w:val="0001318A"/>
    <w:rsid w:val="00013621"/>
    <w:rsid w:val="000136B5"/>
    <w:rsid w:val="0001442E"/>
    <w:rsid w:val="000155D5"/>
    <w:rsid w:val="000160F3"/>
    <w:rsid w:val="00017D04"/>
    <w:rsid w:val="0002299E"/>
    <w:rsid w:val="00024F37"/>
    <w:rsid w:val="00025015"/>
    <w:rsid w:val="000260DD"/>
    <w:rsid w:val="000265F7"/>
    <w:rsid w:val="00026B13"/>
    <w:rsid w:val="00027469"/>
    <w:rsid w:val="00031D8D"/>
    <w:rsid w:val="0003205B"/>
    <w:rsid w:val="00033595"/>
    <w:rsid w:val="00035D17"/>
    <w:rsid w:val="000369EF"/>
    <w:rsid w:val="00040B7B"/>
    <w:rsid w:val="00040C9A"/>
    <w:rsid w:val="00041BB6"/>
    <w:rsid w:val="00043471"/>
    <w:rsid w:val="00043911"/>
    <w:rsid w:val="00044209"/>
    <w:rsid w:val="0004452D"/>
    <w:rsid w:val="0004511E"/>
    <w:rsid w:val="00046B44"/>
    <w:rsid w:val="000503A8"/>
    <w:rsid w:val="00053DCB"/>
    <w:rsid w:val="00054869"/>
    <w:rsid w:val="00054DF8"/>
    <w:rsid w:val="000563C0"/>
    <w:rsid w:val="00057629"/>
    <w:rsid w:val="00057EC8"/>
    <w:rsid w:val="00060E2F"/>
    <w:rsid w:val="00061E6F"/>
    <w:rsid w:val="0006216F"/>
    <w:rsid w:val="00062BA0"/>
    <w:rsid w:val="0006409E"/>
    <w:rsid w:val="00064A6B"/>
    <w:rsid w:val="00064E28"/>
    <w:rsid w:val="00070830"/>
    <w:rsid w:val="00072622"/>
    <w:rsid w:val="00073195"/>
    <w:rsid w:val="000733D3"/>
    <w:rsid w:val="0007609F"/>
    <w:rsid w:val="0007694E"/>
    <w:rsid w:val="00076C55"/>
    <w:rsid w:val="0008011B"/>
    <w:rsid w:val="000808EE"/>
    <w:rsid w:val="00081475"/>
    <w:rsid w:val="00083DB6"/>
    <w:rsid w:val="00083EAF"/>
    <w:rsid w:val="00084EE5"/>
    <w:rsid w:val="00084F56"/>
    <w:rsid w:val="00085904"/>
    <w:rsid w:val="00086114"/>
    <w:rsid w:val="00087383"/>
    <w:rsid w:val="00087C48"/>
    <w:rsid w:val="00090676"/>
    <w:rsid w:val="0009222E"/>
    <w:rsid w:val="00092376"/>
    <w:rsid w:val="0009320D"/>
    <w:rsid w:val="00094481"/>
    <w:rsid w:val="000949D2"/>
    <w:rsid w:val="00094AE3"/>
    <w:rsid w:val="00095300"/>
    <w:rsid w:val="0009621B"/>
    <w:rsid w:val="000A06E8"/>
    <w:rsid w:val="000A437E"/>
    <w:rsid w:val="000A4DD9"/>
    <w:rsid w:val="000A6298"/>
    <w:rsid w:val="000A71F1"/>
    <w:rsid w:val="000B036B"/>
    <w:rsid w:val="000B1192"/>
    <w:rsid w:val="000B1818"/>
    <w:rsid w:val="000B391A"/>
    <w:rsid w:val="000B3D76"/>
    <w:rsid w:val="000B4945"/>
    <w:rsid w:val="000B55D8"/>
    <w:rsid w:val="000B650E"/>
    <w:rsid w:val="000B665D"/>
    <w:rsid w:val="000B7506"/>
    <w:rsid w:val="000B753E"/>
    <w:rsid w:val="000C3277"/>
    <w:rsid w:val="000C3586"/>
    <w:rsid w:val="000C3625"/>
    <w:rsid w:val="000C4A4F"/>
    <w:rsid w:val="000C54A4"/>
    <w:rsid w:val="000C614B"/>
    <w:rsid w:val="000C7D63"/>
    <w:rsid w:val="000C7EAF"/>
    <w:rsid w:val="000C7EEC"/>
    <w:rsid w:val="000D0889"/>
    <w:rsid w:val="000D23B9"/>
    <w:rsid w:val="000D2B20"/>
    <w:rsid w:val="000D315E"/>
    <w:rsid w:val="000D403B"/>
    <w:rsid w:val="000D4132"/>
    <w:rsid w:val="000D4C09"/>
    <w:rsid w:val="000E0EA4"/>
    <w:rsid w:val="000E2C2D"/>
    <w:rsid w:val="000E3A58"/>
    <w:rsid w:val="000E6FCF"/>
    <w:rsid w:val="000E74F5"/>
    <w:rsid w:val="000F01C4"/>
    <w:rsid w:val="000F26C2"/>
    <w:rsid w:val="000F40EF"/>
    <w:rsid w:val="000F6105"/>
    <w:rsid w:val="000F7896"/>
    <w:rsid w:val="00100251"/>
    <w:rsid w:val="00101A9B"/>
    <w:rsid w:val="001023B0"/>
    <w:rsid w:val="00104265"/>
    <w:rsid w:val="00104652"/>
    <w:rsid w:val="0010482B"/>
    <w:rsid w:val="00105808"/>
    <w:rsid w:val="001067AA"/>
    <w:rsid w:val="00106FB3"/>
    <w:rsid w:val="00106FE8"/>
    <w:rsid w:val="00107736"/>
    <w:rsid w:val="00107740"/>
    <w:rsid w:val="001077E3"/>
    <w:rsid w:val="00107E28"/>
    <w:rsid w:val="001110C2"/>
    <w:rsid w:val="00112E9E"/>
    <w:rsid w:val="001147BA"/>
    <w:rsid w:val="0011501B"/>
    <w:rsid w:val="00115083"/>
    <w:rsid w:val="00115131"/>
    <w:rsid w:val="00121CCC"/>
    <w:rsid w:val="001250F7"/>
    <w:rsid w:val="00125245"/>
    <w:rsid w:val="00126BBF"/>
    <w:rsid w:val="00130ADF"/>
    <w:rsid w:val="00131281"/>
    <w:rsid w:val="001313D8"/>
    <w:rsid w:val="0013230E"/>
    <w:rsid w:val="00133A3B"/>
    <w:rsid w:val="0013619D"/>
    <w:rsid w:val="0013676D"/>
    <w:rsid w:val="00137A13"/>
    <w:rsid w:val="001459BC"/>
    <w:rsid w:val="0014608E"/>
    <w:rsid w:val="0014728C"/>
    <w:rsid w:val="001500EA"/>
    <w:rsid w:val="00152085"/>
    <w:rsid w:val="001528E8"/>
    <w:rsid w:val="00153B2A"/>
    <w:rsid w:val="0015446A"/>
    <w:rsid w:val="001544DC"/>
    <w:rsid w:val="0015762E"/>
    <w:rsid w:val="00157B5B"/>
    <w:rsid w:val="00160148"/>
    <w:rsid w:val="00161A61"/>
    <w:rsid w:val="00163738"/>
    <w:rsid w:val="00163EFF"/>
    <w:rsid w:val="00164F79"/>
    <w:rsid w:val="00164FF3"/>
    <w:rsid w:val="00165A07"/>
    <w:rsid w:val="00165C92"/>
    <w:rsid w:val="00165D35"/>
    <w:rsid w:val="00166625"/>
    <w:rsid w:val="0016702F"/>
    <w:rsid w:val="0016785A"/>
    <w:rsid w:val="00167EF9"/>
    <w:rsid w:val="0017030A"/>
    <w:rsid w:val="00170D4E"/>
    <w:rsid w:val="00172493"/>
    <w:rsid w:val="00173986"/>
    <w:rsid w:val="00174FA6"/>
    <w:rsid w:val="0017630C"/>
    <w:rsid w:val="001776C1"/>
    <w:rsid w:val="00177CD3"/>
    <w:rsid w:val="00177EC3"/>
    <w:rsid w:val="00180305"/>
    <w:rsid w:val="00180B7B"/>
    <w:rsid w:val="00180C0C"/>
    <w:rsid w:val="00181323"/>
    <w:rsid w:val="0018173D"/>
    <w:rsid w:val="00181DB6"/>
    <w:rsid w:val="001858C8"/>
    <w:rsid w:val="0019189C"/>
    <w:rsid w:val="001919CC"/>
    <w:rsid w:val="0019387C"/>
    <w:rsid w:val="001945C9"/>
    <w:rsid w:val="001A0335"/>
    <w:rsid w:val="001A0854"/>
    <w:rsid w:val="001A0AEA"/>
    <w:rsid w:val="001A1AA3"/>
    <w:rsid w:val="001A1AE5"/>
    <w:rsid w:val="001A1D31"/>
    <w:rsid w:val="001A2A6E"/>
    <w:rsid w:val="001A374F"/>
    <w:rsid w:val="001A4420"/>
    <w:rsid w:val="001A78A0"/>
    <w:rsid w:val="001A7C31"/>
    <w:rsid w:val="001B1912"/>
    <w:rsid w:val="001B1AD6"/>
    <w:rsid w:val="001B22D1"/>
    <w:rsid w:val="001B23D0"/>
    <w:rsid w:val="001B2B36"/>
    <w:rsid w:val="001B39BC"/>
    <w:rsid w:val="001B3B27"/>
    <w:rsid w:val="001B4FE1"/>
    <w:rsid w:val="001B6DD8"/>
    <w:rsid w:val="001B7961"/>
    <w:rsid w:val="001C2EA5"/>
    <w:rsid w:val="001C33B5"/>
    <w:rsid w:val="001C3EF4"/>
    <w:rsid w:val="001C4735"/>
    <w:rsid w:val="001C55B8"/>
    <w:rsid w:val="001C6BF4"/>
    <w:rsid w:val="001C7510"/>
    <w:rsid w:val="001C7F48"/>
    <w:rsid w:val="001D0467"/>
    <w:rsid w:val="001D7448"/>
    <w:rsid w:val="001E058E"/>
    <w:rsid w:val="001E0BD4"/>
    <w:rsid w:val="001E0D0D"/>
    <w:rsid w:val="001E10D6"/>
    <w:rsid w:val="001E11B1"/>
    <w:rsid w:val="001E2092"/>
    <w:rsid w:val="001E236E"/>
    <w:rsid w:val="001E23B1"/>
    <w:rsid w:val="001E5470"/>
    <w:rsid w:val="001E55B3"/>
    <w:rsid w:val="001E69E4"/>
    <w:rsid w:val="001E6A4B"/>
    <w:rsid w:val="001E708B"/>
    <w:rsid w:val="001E7255"/>
    <w:rsid w:val="001F14A2"/>
    <w:rsid w:val="001F1E7E"/>
    <w:rsid w:val="001F418F"/>
    <w:rsid w:val="001F45C7"/>
    <w:rsid w:val="001F6D5C"/>
    <w:rsid w:val="001F700D"/>
    <w:rsid w:val="001F7034"/>
    <w:rsid w:val="001F733F"/>
    <w:rsid w:val="00200720"/>
    <w:rsid w:val="00201881"/>
    <w:rsid w:val="00206397"/>
    <w:rsid w:val="0020658F"/>
    <w:rsid w:val="00206705"/>
    <w:rsid w:val="00210E9C"/>
    <w:rsid w:val="00211627"/>
    <w:rsid w:val="002116FE"/>
    <w:rsid w:val="00213877"/>
    <w:rsid w:val="00213BDB"/>
    <w:rsid w:val="002153E2"/>
    <w:rsid w:val="0021661C"/>
    <w:rsid w:val="00217238"/>
    <w:rsid w:val="00217BF3"/>
    <w:rsid w:val="00220BDB"/>
    <w:rsid w:val="00221987"/>
    <w:rsid w:val="00221B2B"/>
    <w:rsid w:val="00223491"/>
    <w:rsid w:val="00223AFB"/>
    <w:rsid w:val="00225653"/>
    <w:rsid w:val="00227A62"/>
    <w:rsid w:val="00230EAE"/>
    <w:rsid w:val="00231324"/>
    <w:rsid w:val="00231F26"/>
    <w:rsid w:val="00232ED4"/>
    <w:rsid w:val="0023360D"/>
    <w:rsid w:val="002337CA"/>
    <w:rsid w:val="00233A87"/>
    <w:rsid w:val="00233D49"/>
    <w:rsid w:val="0023404B"/>
    <w:rsid w:val="002348DD"/>
    <w:rsid w:val="00234AB0"/>
    <w:rsid w:val="00234B65"/>
    <w:rsid w:val="00234E73"/>
    <w:rsid w:val="002354D3"/>
    <w:rsid w:val="002404DC"/>
    <w:rsid w:val="002404F7"/>
    <w:rsid w:val="00244CF8"/>
    <w:rsid w:val="00250C5C"/>
    <w:rsid w:val="00251605"/>
    <w:rsid w:val="00254A40"/>
    <w:rsid w:val="00256383"/>
    <w:rsid w:val="0025682E"/>
    <w:rsid w:val="00257408"/>
    <w:rsid w:val="00260E13"/>
    <w:rsid w:val="002623AD"/>
    <w:rsid w:val="00262462"/>
    <w:rsid w:val="0026264B"/>
    <w:rsid w:val="00262AAC"/>
    <w:rsid w:val="00262CFA"/>
    <w:rsid w:val="002646C5"/>
    <w:rsid w:val="002654D9"/>
    <w:rsid w:val="00267571"/>
    <w:rsid w:val="00271D4C"/>
    <w:rsid w:val="00272D53"/>
    <w:rsid w:val="0027308F"/>
    <w:rsid w:val="00275947"/>
    <w:rsid w:val="00275D3D"/>
    <w:rsid w:val="00276B03"/>
    <w:rsid w:val="0027750A"/>
    <w:rsid w:val="00280BAF"/>
    <w:rsid w:val="00282E65"/>
    <w:rsid w:val="00283DDB"/>
    <w:rsid w:val="002851B7"/>
    <w:rsid w:val="00286173"/>
    <w:rsid w:val="00286541"/>
    <w:rsid w:val="002869DC"/>
    <w:rsid w:val="00286DEC"/>
    <w:rsid w:val="002906DF"/>
    <w:rsid w:val="00294152"/>
    <w:rsid w:val="0029430E"/>
    <w:rsid w:val="00294D46"/>
    <w:rsid w:val="002A2B4B"/>
    <w:rsid w:val="002A409A"/>
    <w:rsid w:val="002A41C3"/>
    <w:rsid w:val="002A4A4D"/>
    <w:rsid w:val="002A6848"/>
    <w:rsid w:val="002A7775"/>
    <w:rsid w:val="002A7B24"/>
    <w:rsid w:val="002B2155"/>
    <w:rsid w:val="002B28B0"/>
    <w:rsid w:val="002B583C"/>
    <w:rsid w:val="002B5CD4"/>
    <w:rsid w:val="002B689E"/>
    <w:rsid w:val="002B7888"/>
    <w:rsid w:val="002C122C"/>
    <w:rsid w:val="002C129E"/>
    <w:rsid w:val="002C1C7F"/>
    <w:rsid w:val="002C3361"/>
    <w:rsid w:val="002C37C4"/>
    <w:rsid w:val="002C3F7C"/>
    <w:rsid w:val="002C4610"/>
    <w:rsid w:val="002C5396"/>
    <w:rsid w:val="002C6EEE"/>
    <w:rsid w:val="002D2048"/>
    <w:rsid w:val="002D214D"/>
    <w:rsid w:val="002D3A08"/>
    <w:rsid w:val="002D3CFD"/>
    <w:rsid w:val="002D519D"/>
    <w:rsid w:val="002D63DE"/>
    <w:rsid w:val="002E0A4A"/>
    <w:rsid w:val="002E20A6"/>
    <w:rsid w:val="002E22BC"/>
    <w:rsid w:val="002E3AFC"/>
    <w:rsid w:val="002E3BEE"/>
    <w:rsid w:val="002E5329"/>
    <w:rsid w:val="002E5723"/>
    <w:rsid w:val="002E5889"/>
    <w:rsid w:val="002E6018"/>
    <w:rsid w:val="002E6BA8"/>
    <w:rsid w:val="002E7997"/>
    <w:rsid w:val="002E7E37"/>
    <w:rsid w:val="002F01BF"/>
    <w:rsid w:val="002F0CE9"/>
    <w:rsid w:val="002F1A5E"/>
    <w:rsid w:val="002F1A9F"/>
    <w:rsid w:val="002F2645"/>
    <w:rsid w:val="002F36E2"/>
    <w:rsid w:val="002F4425"/>
    <w:rsid w:val="00300433"/>
    <w:rsid w:val="00300E1C"/>
    <w:rsid w:val="00302ADB"/>
    <w:rsid w:val="00302D6F"/>
    <w:rsid w:val="00302EF5"/>
    <w:rsid w:val="003034B1"/>
    <w:rsid w:val="00304361"/>
    <w:rsid w:val="00305061"/>
    <w:rsid w:val="0030581C"/>
    <w:rsid w:val="00305E5F"/>
    <w:rsid w:val="00306119"/>
    <w:rsid w:val="00310F95"/>
    <w:rsid w:val="00312439"/>
    <w:rsid w:val="003127E6"/>
    <w:rsid w:val="00312E6E"/>
    <w:rsid w:val="00312FF3"/>
    <w:rsid w:val="003138A1"/>
    <w:rsid w:val="00315CB8"/>
    <w:rsid w:val="003179ED"/>
    <w:rsid w:val="00317BA3"/>
    <w:rsid w:val="00320940"/>
    <w:rsid w:val="00322480"/>
    <w:rsid w:val="00324260"/>
    <w:rsid w:val="00324785"/>
    <w:rsid w:val="00324938"/>
    <w:rsid w:val="00325BC3"/>
    <w:rsid w:val="003278FD"/>
    <w:rsid w:val="00330048"/>
    <w:rsid w:val="00331265"/>
    <w:rsid w:val="00332715"/>
    <w:rsid w:val="00332FEB"/>
    <w:rsid w:val="00333AB9"/>
    <w:rsid w:val="003357CA"/>
    <w:rsid w:val="00335C69"/>
    <w:rsid w:val="003456BD"/>
    <w:rsid w:val="00345C6D"/>
    <w:rsid w:val="0034674B"/>
    <w:rsid w:val="0034765C"/>
    <w:rsid w:val="00351853"/>
    <w:rsid w:val="003543EA"/>
    <w:rsid w:val="003545B2"/>
    <w:rsid w:val="003547E5"/>
    <w:rsid w:val="0035521E"/>
    <w:rsid w:val="00355320"/>
    <w:rsid w:val="00355C12"/>
    <w:rsid w:val="00356457"/>
    <w:rsid w:val="003569BD"/>
    <w:rsid w:val="00357FC9"/>
    <w:rsid w:val="003604F4"/>
    <w:rsid w:val="003605E7"/>
    <w:rsid w:val="0036135D"/>
    <w:rsid w:val="00365A86"/>
    <w:rsid w:val="00365DE7"/>
    <w:rsid w:val="003668CF"/>
    <w:rsid w:val="0037559F"/>
    <w:rsid w:val="00375B28"/>
    <w:rsid w:val="0037675E"/>
    <w:rsid w:val="00377E94"/>
    <w:rsid w:val="00381090"/>
    <w:rsid w:val="00381CD7"/>
    <w:rsid w:val="0038560E"/>
    <w:rsid w:val="00385BC3"/>
    <w:rsid w:val="003864F6"/>
    <w:rsid w:val="00390E31"/>
    <w:rsid w:val="00391737"/>
    <w:rsid w:val="003917E3"/>
    <w:rsid w:val="0039344D"/>
    <w:rsid w:val="00393638"/>
    <w:rsid w:val="00396A04"/>
    <w:rsid w:val="00397570"/>
    <w:rsid w:val="003A3349"/>
    <w:rsid w:val="003A367D"/>
    <w:rsid w:val="003A6698"/>
    <w:rsid w:val="003A7570"/>
    <w:rsid w:val="003A7CA2"/>
    <w:rsid w:val="003A7CC0"/>
    <w:rsid w:val="003B02B3"/>
    <w:rsid w:val="003B0C77"/>
    <w:rsid w:val="003B2329"/>
    <w:rsid w:val="003B3A2C"/>
    <w:rsid w:val="003B3F0B"/>
    <w:rsid w:val="003B424D"/>
    <w:rsid w:val="003B68CD"/>
    <w:rsid w:val="003B6E10"/>
    <w:rsid w:val="003C1670"/>
    <w:rsid w:val="003C19BF"/>
    <w:rsid w:val="003C4D24"/>
    <w:rsid w:val="003C56CF"/>
    <w:rsid w:val="003C6B82"/>
    <w:rsid w:val="003C6D3A"/>
    <w:rsid w:val="003C6F3C"/>
    <w:rsid w:val="003D092D"/>
    <w:rsid w:val="003D3A0D"/>
    <w:rsid w:val="003D4A34"/>
    <w:rsid w:val="003D6235"/>
    <w:rsid w:val="003E080A"/>
    <w:rsid w:val="003E0917"/>
    <w:rsid w:val="003E358F"/>
    <w:rsid w:val="003E5FF2"/>
    <w:rsid w:val="003F046A"/>
    <w:rsid w:val="003F10F8"/>
    <w:rsid w:val="003F4EA4"/>
    <w:rsid w:val="003F5CF6"/>
    <w:rsid w:val="003F6ACA"/>
    <w:rsid w:val="003F7AF4"/>
    <w:rsid w:val="0040003B"/>
    <w:rsid w:val="004005AC"/>
    <w:rsid w:val="004007BE"/>
    <w:rsid w:val="00402A15"/>
    <w:rsid w:val="0040434F"/>
    <w:rsid w:val="00405F21"/>
    <w:rsid w:val="00406B07"/>
    <w:rsid w:val="00406FBE"/>
    <w:rsid w:val="0041039C"/>
    <w:rsid w:val="004162F1"/>
    <w:rsid w:val="0042197D"/>
    <w:rsid w:val="00422EDE"/>
    <w:rsid w:val="004248D9"/>
    <w:rsid w:val="00425D30"/>
    <w:rsid w:val="00426482"/>
    <w:rsid w:val="004268A6"/>
    <w:rsid w:val="00427CE2"/>
    <w:rsid w:val="00434D7D"/>
    <w:rsid w:val="004353EE"/>
    <w:rsid w:val="00435A81"/>
    <w:rsid w:val="00435F83"/>
    <w:rsid w:val="004362A6"/>
    <w:rsid w:val="00440136"/>
    <w:rsid w:val="0044259A"/>
    <w:rsid w:val="0044348E"/>
    <w:rsid w:val="004449A8"/>
    <w:rsid w:val="00445A50"/>
    <w:rsid w:val="00446A81"/>
    <w:rsid w:val="00446B21"/>
    <w:rsid w:val="00446C51"/>
    <w:rsid w:val="00446C87"/>
    <w:rsid w:val="004472F0"/>
    <w:rsid w:val="004516D9"/>
    <w:rsid w:val="00454D72"/>
    <w:rsid w:val="004555DD"/>
    <w:rsid w:val="00455719"/>
    <w:rsid w:val="004561E9"/>
    <w:rsid w:val="004562CD"/>
    <w:rsid w:val="0045656F"/>
    <w:rsid w:val="00456611"/>
    <w:rsid w:val="00460CE3"/>
    <w:rsid w:val="00461DC3"/>
    <w:rsid w:val="0046232C"/>
    <w:rsid w:val="0046279C"/>
    <w:rsid w:val="00462C37"/>
    <w:rsid w:val="00463434"/>
    <w:rsid w:val="00463E98"/>
    <w:rsid w:val="00464AED"/>
    <w:rsid w:val="0046568A"/>
    <w:rsid w:val="00473382"/>
    <w:rsid w:val="00473DA2"/>
    <w:rsid w:val="00474996"/>
    <w:rsid w:val="00475C30"/>
    <w:rsid w:val="0047623C"/>
    <w:rsid w:val="00476A97"/>
    <w:rsid w:val="0047738F"/>
    <w:rsid w:val="00477DA1"/>
    <w:rsid w:val="004803F0"/>
    <w:rsid w:val="004806BE"/>
    <w:rsid w:val="00481A82"/>
    <w:rsid w:val="00482DAD"/>
    <w:rsid w:val="00486DF5"/>
    <w:rsid w:val="004872BF"/>
    <w:rsid w:val="00487AF6"/>
    <w:rsid w:val="00487E80"/>
    <w:rsid w:val="00492D8F"/>
    <w:rsid w:val="00493464"/>
    <w:rsid w:val="004939DF"/>
    <w:rsid w:val="0049586B"/>
    <w:rsid w:val="00495918"/>
    <w:rsid w:val="00495B40"/>
    <w:rsid w:val="004A2289"/>
    <w:rsid w:val="004A26E1"/>
    <w:rsid w:val="004A39EE"/>
    <w:rsid w:val="004A442B"/>
    <w:rsid w:val="004A51ED"/>
    <w:rsid w:val="004A6FCC"/>
    <w:rsid w:val="004B13DF"/>
    <w:rsid w:val="004B1759"/>
    <w:rsid w:val="004B1ABD"/>
    <w:rsid w:val="004B23FC"/>
    <w:rsid w:val="004B254E"/>
    <w:rsid w:val="004B3C0A"/>
    <w:rsid w:val="004B3F38"/>
    <w:rsid w:val="004B64A6"/>
    <w:rsid w:val="004B7202"/>
    <w:rsid w:val="004B7CAD"/>
    <w:rsid w:val="004C0503"/>
    <w:rsid w:val="004C07F9"/>
    <w:rsid w:val="004C103A"/>
    <w:rsid w:val="004C1092"/>
    <w:rsid w:val="004C1338"/>
    <w:rsid w:val="004C7417"/>
    <w:rsid w:val="004D1B68"/>
    <w:rsid w:val="004D1FC0"/>
    <w:rsid w:val="004D210B"/>
    <w:rsid w:val="004D24D3"/>
    <w:rsid w:val="004D279E"/>
    <w:rsid w:val="004D27EE"/>
    <w:rsid w:val="004D5BA3"/>
    <w:rsid w:val="004D6ABC"/>
    <w:rsid w:val="004E1034"/>
    <w:rsid w:val="004E13AF"/>
    <w:rsid w:val="004E2CA0"/>
    <w:rsid w:val="004E3A37"/>
    <w:rsid w:val="004E40FD"/>
    <w:rsid w:val="004E789F"/>
    <w:rsid w:val="004F0E4B"/>
    <w:rsid w:val="004F1FFD"/>
    <w:rsid w:val="004F49AA"/>
    <w:rsid w:val="004F521A"/>
    <w:rsid w:val="004F551E"/>
    <w:rsid w:val="005005B8"/>
    <w:rsid w:val="0050109F"/>
    <w:rsid w:val="00502B25"/>
    <w:rsid w:val="005048C3"/>
    <w:rsid w:val="00504D15"/>
    <w:rsid w:val="00505AF3"/>
    <w:rsid w:val="0050659C"/>
    <w:rsid w:val="005066F6"/>
    <w:rsid w:val="00513FC6"/>
    <w:rsid w:val="00514C81"/>
    <w:rsid w:val="0051551F"/>
    <w:rsid w:val="00515920"/>
    <w:rsid w:val="00515AD8"/>
    <w:rsid w:val="00515DE0"/>
    <w:rsid w:val="00520345"/>
    <w:rsid w:val="00520BE3"/>
    <w:rsid w:val="00522A8B"/>
    <w:rsid w:val="0052442F"/>
    <w:rsid w:val="00524BB2"/>
    <w:rsid w:val="00527866"/>
    <w:rsid w:val="00530AC8"/>
    <w:rsid w:val="0053145E"/>
    <w:rsid w:val="0053190B"/>
    <w:rsid w:val="005333A9"/>
    <w:rsid w:val="005335D4"/>
    <w:rsid w:val="005338D3"/>
    <w:rsid w:val="00533DD2"/>
    <w:rsid w:val="00533E19"/>
    <w:rsid w:val="0053559E"/>
    <w:rsid w:val="0053566B"/>
    <w:rsid w:val="00537B78"/>
    <w:rsid w:val="00540381"/>
    <w:rsid w:val="00541444"/>
    <w:rsid w:val="00542411"/>
    <w:rsid w:val="00543A0A"/>
    <w:rsid w:val="005444AB"/>
    <w:rsid w:val="00545DF2"/>
    <w:rsid w:val="00546B5F"/>
    <w:rsid w:val="005514F5"/>
    <w:rsid w:val="00552EB0"/>
    <w:rsid w:val="00554716"/>
    <w:rsid w:val="00555D3D"/>
    <w:rsid w:val="00561803"/>
    <w:rsid w:val="00562652"/>
    <w:rsid w:val="0056358F"/>
    <w:rsid w:val="005649C0"/>
    <w:rsid w:val="00565752"/>
    <w:rsid w:val="00566969"/>
    <w:rsid w:val="00566EBF"/>
    <w:rsid w:val="00571569"/>
    <w:rsid w:val="0057522D"/>
    <w:rsid w:val="00575BCE"/>
    <w:rsid w:val="0057730A"/>
    <w:rsid w:val="00577623"/>
    <w:rsid w:val="0058155C"/>
    <w:rsid w:val="00581879"/>
    <w:rsid w:val="00582047"/>
    <w:rsid w:val="00583D6C"/>
    <w:rsid w:val="00584568"/>
    <w:rsid w:val="00584BC8"/>
    <w:rsid w:val="00586890"/>
    <w:rsid w:val="00587CCB"/>
    <w:rsid w:val="00591469"/>
    <w:rsid w:val="00592437"/>
    <w:rsid w:val="00595C2D"/>
    <w:rsid w:val="005966F6"/>
    <w:rsid w:val="0059789A"/>
    <w:rsid w:val="00597910"/>
    <w:rsid w:val="005A133E"/>
    <w:rsid w:val="005A13C5"/>
    <w:rsid w:val="005A1B09"/>
    <w:rsid w:val="005A1D6C"/>
    <w:rsid w:val="005A2F37"/>
    <w:rsid w:val="005A2FF2"/>
    <w:rsid w:val="005A47ED"/>
    <w:rsid w:val="005A506E"/>
    <w:rsid w:val="005A5A3E"/>
    <w:rsid w:val="005A5D29"/>
    <w:rsid w:val="005A7989"/>
    <w:rsid w:val="005B02AB"/>
    <w:rsid w:val="005B17BE"/>
    <w:rsid w:val="005B18ED"/>
    <w:rsid w:val="005B31F7"/>
    <w:rsid w:val="005B3992"/>
    <w:rsid w:val="005B58FF"/>
    <w:rsid w:val="005B68C3"/>
    <w:rsid w:val="005B716F"/>
    <w:rsid w:val="005C204E"/>
    <w:rsid w:val="005C22D6"/>
    <w:rsid w:val="005C2F53"/>
    <w:rsid w:val="005C5DD4"/>
    <w:rsid w:val="005D0029"/>
    <w:rsid w:val="005D05C7"/>
    <w:rsid w:val="005D33F6"/>
    <w:rsid w:val="005D3847"/>
    <w:rsid w:val="005D4320"/>
    <w:rsid w:val="005D4B0F"/>
    <w:rsid w:val="005D4F6E"/>
    <w:rsid w:val="005D66B3"/>
    <w:rsid w:val="005D6B6E"/>
    <w:rsid w:val="005E24DC"/>
    <w:rsid w:val="005E28B9"/>
    <w:rsid w:val="005E318B"/>
    <w:rsid w:val="005E34BD"/>
    <w:rsid w:val="005E494D"/>
    <w:rsid w:val="005E662E"/>
    <w:rsid w:val="005E6BD7"/>
    <w:rsid w:val="005E71B7"/>
    <w:rsid w:val="005F0EF5"/>
    <w:rsid w:val="005F27A0"/>
    <w:rsid w:val="005F2815"/>
    <w:rsid w:val="005F3CF4"/>
    <w:rsid w:val="005F6554"/>
    <w:rsid w:val="005F6E40"/>
    <w:rsid w:val="00601913"/>
    <w:rsid w:val="0060421A"/>
    <w:rsid w:val="00607D01"/>
    <w:rsid w:val="00611340"/>
    <w:rsid w:val="00611644"/>
    <w:rsid w:val="0061330D"/>
    <w:rsid w:val="00615AA1"/>
    <w:rsid w:val="00615FE9"/>
    <w:rsid w:val="006171CD"/>
    <w:rsid w:val="006174FC"/>
    <w:rsid w:val="0062007D"/>
    <w:rsid w:val="006234A3"/>
    <w:rsid w:val="00623B34"/>
    <w:rsid w:val="00624E3D"/>
    <w:rsid w:val="006259CC"/>
    <w:rsid w:val="0062611E"/>
    <w:rsid w:val="0062684A"/>
    <w:rsid w:val="006308CD"/>
    <w:rsid w:val="006314DE"/>
    <w:rsid w:val="00634816"/>
    <w:rsid w:val="00634CC1"/>
    <w:rsid w:val="00635197"/>
    <w:rsid w:val="0063636E"/>
    <w:rsid w:val="006363AA"/>
    <w:rsid w:val="0063758C"/>
    <w:rsid w:val="00637985"/>
    <w:rsid w:val="00642FB2"/>
    <w:rsid w:val="00643DFD"/>
    <w:rsid w:val="0064474A"/>
    <w:rsid w:val="006449AD"/>
    <w:rsid w:val="00644A56"/>
    <w:rsid w:val="00644DAA"/>
    <w:rsid w:val="00645209"/>
    <w:rsid w:val="00646267"/>
    <w:rsid w:val="006467F1"/>
    <w:rsid w:val="00646A8A"/>
    <w:rsid w:val="00647401"/>
    <w:rsid w:val="0064777F"/>
    <w:rsid w:val="00647931"/>
    <w:rsid w:val="00650169"/>
    <w:rsid w:val="00652918"/>
    <w:rsid w:val="00652E1B"/>
    <w:rsid w:val="00652E45"/>
    <w:rsid w:val="00653F32"/>
    <w:rsid w:val="00655645"/>
    <w:rsid w:val="006556FA"/>
    <w:rsid w:val="00656BD4"/>
    <w:rsid w:val="00657250"/>
    <w:rsid w:val="006600DC"/>
    <w:rsid w:val="00660605"/>
    <w:rsid w:val="006622B7"/>
    <w:rsid w:val="00662E0D"/>
    <w:rsid w:val="0066383C"/>
    <w:rsid w:val="0066428B"/>
    <w:rsid w:val="00664C4E"/>
    <w:rsid w:val="00665BFE"/>
    <w:rsid w:val="00667C6B"/>
    <w:rsid w:val="00670C79"/>
    <w:rsid w:val="00670DA7"/>
    <w:rsid w:val="00671536"/>
    <w:rsid w:val="00671957"/>
    <w:rsid w:val="0067280E"/>
    <w:rsid w:val="0067373F"/>
    <w:rsid w:val="006737CE"/>
    <w:rsid w:val="00674168"/>
    <w:rsid w:val="00674D58"/>
    <w:rsid w:val="00674E7A"/>
    <w:rsid w:val="0067569B"/>
    <w:rsid w:val="00677B92"/>
    <w:rsid w:val="00680184"/>
    <w:rsid w:val="00680196"/>
    <w:rsid w:val="006801F0"/>
    <w:rsid w:val="006803EA"/>
    <w:rsid w:val="006808E5"/>
    <w:rsid w:val="006813E4"/>
    <w:rsid w:val="00683D39"/>
    <w:rsid w:val="00684131"/>
    <w:rsid w:val="00687A8C"/>
    <w:rsid w:val="00690C45"/>
    <w:rsid w:val="00693450"/>
    <w:rsid w:val="00694BA3"/>
    <w:rsid w:val="00695912"/>
    <w:rsid w:val="00696435"/>
    <w:rsid w:val="006964C3"/>
    <w:rsid w:val="00697C9C"/>
    <w:rsid w:val="006A00E7"/>
    <w:rsid w:val="006A05B8"/>
    <w:rsid w:val="006A53C9"/>
    <w:rsid w:val="006B0230"/>
    <w:rsid w:val="006B075E"/>
    <w:rsid w:val="006B0F3D"/>
    <w:rsid w:val="006B135C"/>
    <w:rsid w:val="006C1EBB"/>
    <w:rsid w:val="006C38C1"/>
    <w:rsid w:val="006C3986"/>
    <w:rsid w:val="006C4F78"/>
    <w:rsid w:val="006C63AE"/>
    <w:rsid w:val="006C63C2"/>
    <w:rsid w:val="006C711B"/>
    <w:rsid w:val="006D07D6"/>
    <w:rsid w:val="006D09F8"/>
    <w:rsid w:val="006D2138"/>
    <w:rsid w:val="006D37D0"/>
    <w:rsid w:val="006D46B5"/>
    <w:rsid w:val="006D52AD"/>
    <w:rsid w:val="006D762A"/>
    <w:rsid w:val="006E1DDD"/>
    <w:rsid w:val="006E48E4"/>
    <w:rsid w:val="006E4FBF"/>
    <w:rsid w:val="006E6287"/>
    <w:rsid w:val="006E718D"/>
    <w:rsid w:val="006E7C08"/>
    <w:rsid w:val="006F1F12"/>
    <w:rsid w:val="006F28C3"/>
    <w:rsid w:val="006F2A8A"/>
    <w:rsid w:val="006F2F9D"/>
    <w:rsid w:val="006F350D"/>
    <w:rsid w:val="006F3F80"/>
    <w:rsid w:val="006F4543"/>
    <w:rsid w:val="006F57C0"/>
    <w:rsid w:val="006F66B1"/>
    <w:rsid w:val="006F72EC"/>
    <w:rsid w:val="006F7D98"/>
    <w:rsid w:val="00703F7C"/>
    <w:rsid w:val="007050B8"/>
    <w:rsid w:val="00705F15"/>
    <w:rsid w:val="00707145"/>
    <w:rsid w:val="00707949"/>
    <w:rsid w:val="007118D7"/>
    <w:rsid w:val="00712405"/>
    <w:rsid w:val="00713515"/>
    <w:rsid w:val="00714862"/>
    <w:rsid w:val="00720217"/>
    <w:rsid w:val="007205CF"/>
    <w:rsid w:val="00721B4E"/>
    <w:rsid w:val="00721E13"/>
    <w:rsid w:val="00723144"/>
    <w:rsid w:val="00723783"/>
    <w:rsid w:val="00723AC4"/>
    <w:rsid w:val="00723BA7"/>
    <w:rsid w:val="00723E83"/>
    <w:rsid w:val="0072479B"/>
    <w:rsid w:val="00724EF9"/>
    <w:rsid w:val="00725250"/>
    <w:rsid w:val="0072598F"/>
    <w:rsid w:val="00725A79"/>
    <w:rsid w:val="007263F0"/>
    <w:rsid w:val="00726D70"/>
    <w:rsid w:val="00727AF1"/>
    <w:rsid w:val="00727BB5"/>
    <w:rsid w:val="00727F76"/>
    <w:rsid w:val="00730AD6"/>
    <w:rsid w:val="007314E7"/>
    <w:rsid w:val="0073311F"/>
    <w:rsid w:val="00735154"/>
    <w:rsid w:val="007359E9"/>
    <w:rsid w:val="00736318"/>
    <w:rsid w:val="00740C87"/>
    <w:rsid w:val="00741AA7"/>
    <w:rsid w:val="00742BEF"/>
    <w:rsid w:val="00743134"/>
    <w:rsid w:val="0074315A"/>
    <w:rsid w:val="007478F2"/>
    <w:rsid w:val="00752B06"/>
    <w:rsid w:val="007578D3"/>
    <w:rsid w:val="00757DD1"/>
    <w:rsid w:val="00757F29"/>
    <w:rsid w:val="007600AE"/>
    <w:rsid w:val="00760101"/>
    <w:rsid w:val="00760C9F"/>
    <w:rsid w:val="0076289B"/>
    <w:rsid w:val="00763CC1"/>
    <w:rsid w:val="007640CC"/>
    <w:rsid w:val="007642C7"/>
    <w:rsid w:val="00764804"/>
    <w:rsid w:val="007678A9"/>
    <w:rsid w:val="00770C25"/>
    <w:rsid w:val="00770E01"/>
    <w:rsid w:val="00771F93"/>
    <w:rsid w:val="00773C27"/>
    <w:rsid w:val="00773E38"/>
    <w:rsid w:val="00773E3F"/>
    <w:rsid w:val="00774611"/>
    <w:rsid w:val="007752DF"/>
    <w:rsid w:val="0077582F"/>
    <w:rsid w:val="00775875"/>
    <w:rsid w:val="0078437B"/>
    <w:rsid w:val="00784539"/>
    <w:rsid w:val="00784848"/>
    <w:rsid w:val="00784A78"/>
    <w:rsid w:val="00784C56"/>
    <w:rsid w:val="00784D81"/>
    <w:rsid w:val="00785492"/>
    <w:rsid w:val="00786250"/>
    <w:rsid w:val="00786699"/>
    <w:rsid w:val="007872E4"/>
    <w:rsid w:val="00787457"/>
    <w:rsid w:val="00787A65"/>
    <w:rsid w:val="007912A9"/>
    <w:rsid w:val="007928CE"/>
    <w:rsid w:val="00793421"/>
    <w:rsid w:val="00793B14"/>
    <w:rsid w:val="007949E0"/>
    <w:rsid w:val="00794CB0"/>
    <w:rsid w:val="00795327"/>
    <w:rsid w:val="00795ECB"/>
    <w:rsid w:val="0079787D"/>
    <w:rsid w:val="00797A35"/>
    <w:rsid w:val="007A092D"/>
    <w:rsid w:val="007A20E4"/>
    <w:rsid w:val="007A28A7"/>
    <w:rsid w:val="007A294C"/>
    <w:rsid w:val="007A355E"/>
    <w:rsid w:val="007A4087"/>
    <w:rsid w:val="007A506B"/>
    <w:rsid w:val="007A5914"/>
    <w:rsid w:val="007A5DF7"/>
    <w:rsid w:val="007B37F8"/>
    <w:rsid w:val="007B5C1D"/>
    <w:rsid w:val="007B66A7"/>
    <w:rsid w:val="007C16BF"/>
    <w:rsid w:val="007C23AB"/>
    <w:rsid w:val="007C358C"/>
    <w:rsid w:val="007C3CB1"/>
    <w:rsid w:val="007C73C3"/>
    <w:rsid w:val="007D1532"/>
    <w:rsid w:val="007D26F6"/>
    <w:rsid w:val="007D2E00"/>
    <w:rsid w:val="007D383B"/>
    <w:rsid w:val="007D59C7"/>
    <w:rsid w:val="007D5B0F"/>
    <w:rsid w:val="007D6BE6"/>
    <w:rsid w:val="007E2B3E"/>
    <w:rsid w:val="007E2F46"/>
    <w:rsid w:val="007E315C"/>
    <w:rsid w:val="007E6D8E"/>
    <w:rsid w:val="007E7000"/>
    <w:rsid w:val="007F14F5"/>
    <w:rsid w:val="007F5666"/>
    <w:rsid w:val="007F7226"/>
    <w:rsid w:val="0080159B"/>
    <w:rsid w:val="008041B9"/>
    <w:rsid w:val="008042E9"/>
    <w:rsid w:val="0080435E"/>
    <w:rsid w:val="00805594"/>
    <w:rsid w:val="00806A0E"/>
    <w:rsid w:val="00810336"/>
    <w:rsid w:val="00812CEF"/>
    <w:rsid w:val="00812F1A"/>
    <w:rsid w:val="008147DC"/>
    <w:rsid w:val="00816500"/>
    <w:rsid w:val="00820027"/>
    <w:rsid w:val="00820EC8"/>
    <w:rsid w:val="00821135"/>
    <w:rsid w:val="00821A2E"/>
    <w:rsid w:val="00821E21"/>
    <w:rsid w:val="00822951"/>
    <w:rsid w:val="00823B75"/>
    <w:rsid w:val="00823B92"/>
    <w:rsid w:val="00824F0E"/>
    <w:rsid w:val="008259E4"/>
    <w:rsid w:val="00826EED"/>
    <w:rsid w:val="00830CBA"/>
    <w:rsid w:val="00831008"/>
    <w:rsid w:val="008311B3"/>
    <w:rsid w:val="00831B51"/>
    <w:rsid w:val="00833990"/>
    <w:rsid w:val="008339F9"/>
    <w:rsid w:val="00833F5C"/>
    <w:rsid w:val="00834D8E"/>
    <w:rsid w:val="00837BAB"/>
    <w:rsid w:val="008413A4"/>
    <w:rsid w:val="00842393"/>
    <w:rsid w:val="00842C68"/>
    <w:rsid w:val="00842DDA"/>
    <w:rsid w:val="00843606"/>
    <w:rsid w:val="008438F3"/>
    <w:rsid w:val="00843E24"/>
    <w:rsid w:val="008441CD"/>
    <w:rsid w:val="008455A9"/>
    <w:rsid w:val="0084634B"/>
    <w:rsid w:val="0084657A"/>
    <w:rsid w:val="00847EA6"/>
    <w:rsid w:val="00850946"/>
    <w:rsid w:val="008532C2"/>
    <w:rsid w:val="00856FA3"/>
    <w:rsid w:val="00857E62"/>
    <w:rsid w:val="00857F6E"/>
    <w:rsid w:val="00860BF9"/>
    <w:rsid w:val="00861374"/>
    <w:rsid w:val="008619CE"/>
    <w:rsid w:val="00862B66"/>
    <w:rsid w:val="008705E3"/>
    <w:rsid w:val="00870635"/>
    <w:rsid w:val="0087248D"/>
    <w:rsid w:val="00873608"/>
    <w:rsid w:val="00873E3D"/>
    <w:rsid w:val="008752C0"/>
    <w:rsid w:val="00875BCB"/>
    <w:rsid w:val="00875DF2"/>
    <w:rsid w:val="00876207"/>
    <w:rsid w:val="00876521"/>
    <w:rsid w:val="00880A39"/>
    <w:rsid w:val="00880D07"/>
    <w:rsid w:val="00881537"/>
    <w:rsid w:val="00883375"/>
    <w:rsid w:val="008838DB"/>
    <w:rsid w:val="0088623E"/>
    <w:rsid w:val="0089074E"/>
    <w:rsid w:val="008909E5"/>
    <w:rsid w:val="00890D08"/>
    <w:rsid w:val="00894A0A"/>
    <w:rsid w:val="00894B05"/>
    <w:rsid w:val="008955BC"/>
    <w:rsid w:val="008965DD"/>
    <w:rsid w:val="008975E9"/>
    <w:rsid w:val="008A0DB7"/>
    <w:rsid w:val="008A1CD6"/>
    <w:rsid w:val="008A2683"/>
    <w:rsid w:val="008A2707"/>
    <w:rsid w:val="008A2CEF"/>
    <w:rsid w:val="008A3EC9"/>
    <w:rsid w:val="008A44AD"/>
    <w:rsid w:val="008A45B5"/>
    <w:rsid w:val="008A4B30"/>
    <w:rsid w:val="008A5644"/>
    <w:rsid w:val="008A6377"/>
    <w:rsid w:val="008B186A"/>
    <w:rsid w:val="008B2AA3"/>
    <w:rsid w:val="008B33C1"/>
    <w:rsid w:val="008B4F8B"/>
    <w:rsid w:val="008B707D"/>
    <w:rsid w:val="008B7A75"/>
    <w:rsid w:val="008C1811"/>
    <w:rsid w:val="008C2535"/>
    <w:rsid w:val="008C2751"/>
    <w:rsid w:val="008C471E"/>
    <w:rsid w:val="008C6322"/>
    <w:rsid w:val="008C7047"/>
    <w:rsid w:val="008D050C"/>
    <w:rsid w:val="008D0751"/>
    <w:rsid w:val="008D2534"/>
    <w:rsid w:val="008D3085"/>
    <w:rsid w:val="008D3602"/>
    <w:rsid w:val="008D498E"/>
    <w:rsid w:val="008D4B12"/>
    <w:rsid w:val="008D7431"/>
    <w:rsid w:val="008E14AF"/>
    <w:rsid w:val="008E1534"/>
    <w:rsid w:val="008E3AD0"/>
    <w:rsid w:val="008E3D03"/>
    <w:rsid w:val="008E43D1"/>
    <w:rsid w:val="008E48D1"/>
    <w:rsid w:val="008E534F"/>
    <w:rsid w:val="008E56F8"/>
    <w:rsid w:val="008E5DAF"/>
    <w:rsid w:val="008E602A"/>
    <w:rsid w:val="008E61EE"/>
    <w:rsid w:val="008E64CB"/>
    <w:rsid w:val="008E65E3"/>
    <w:rsid w:val="008F06E5"/>
    <w:rsid w:val="008F29CC"/>
    <w:rsid w:val="008F2D62"/>
    <w:rsid w:val="008F32CD"/>
    <w:rsid w:val="008F3303"/>
    <w:rsid w:val="008F35A0"/>
    <w:rsid w:val="008F41E3"/>
    <w:rsid w:val="008F4914"/>
    <w:rsid w:val="008F6907"/>
    <w:rsid w:val="008F7D4B"/>
    <w:rsid w:val="009009A6"/>
    <w:rsid w:val="00901A7B"/>
    <w:rsid w:val="0090277D"/>
    <w:rsid w:val="0090418B"/>
    <w:rsid w:val="00905E05"/>
    <w:rsid w:val="009064F7"/>
    <w:rsid w:val="009079AE"/>
    <w:rsid w:val="00907A27"/>
    <w:rsid w:val="00907A95"/>
    <w:rsid w:val="00907AEA"/>
    <w:rsid w:val="00910134"/>
    <w:rsid w:val="009101E4"/>
    <w:rsid w:val="00911BC0"/>
    <w:rsid w:val="0091403A"/>
    <w:rsid w:val="00915DA8"/>
    <w:rsid w:val="00916869"/>
    <w:rsid w:val="00916B41"/>
    <w:rsid w:val="00916C5E"/>
    <w:rsid w:val="009176B0"/>
    <w:rsid w:val="0092117E"/>
    <w:rsid w:val="00922398"/>
    <w:rsid w:val="00923B3E"/>
    <w:rsid w:val="009240BF"/>
    <w:rsid w:val="0092665F"/>
    <w:rsid w:val="00926ABC"/>
    <w:rsid w:val="009276B0"/>
    <w:rsid w:val="00931AF0"/>
    <w:rsid w:val="009359F1"/>
    <w:rsid w:val="00935C77"/>
    <w:rsid w:val="00935D53"/>
    <w:rsid w:val="00936CC4"/>
    <w:rsid w:val="00936F16"/>
    <w:rsid w:val="00937743"/>
    <w:rsid w:val="009377E2"/>
    <w:rsid w:val="009404CF"/>
    <w:rsid w:val="0094245C"/>
    <w:rsid w:val="00944ABA"/>
    <w:rsid w:val="00947EA6"/>
    <w:rsid w:val="00951655"/>
    <w:rsid w:val="00953180"/>
    <w:rsid w:val="00954311"/>
    <w:rsid w:val="0095587D"/>
    <w:rsid w:val="00956192"/>
    <w:rsid w:val="009561EC"/>
    <w:rsid w:val="00965DE3"/>
    <w:rsid w:val="0096680B"/>
    <w:rsid w:val="0096697E"/>
    <w:rsid w:val="00966D02"/>
    <w:rsid w:val="009678EA"/>
    <w:rsid w:val="00970161"/>
    <w:rsid w:val="0097156C"/>
    <w:rsid w:val="00972192"/>
    <w:rsid w:val="00973701"/>
    <w:rsid w:val="00973B5C"/>
    <w:rsid w:val="00973DEE"/>
    <w:rsid w:val="00975D7D"/>
    <w:rsid w:val="00976515"/>
    <w:rsid w:val="00980148"/>
    <w:rsid w:val="00980800"/>
    <w:rsid w:val="009817E8"/>
    <w:rsid w:val="00981C86"/>
    <w:rsid w:val="00982B95"/>
    <w:rsid w:val="009833F1"/>
    <w:rsid w:val="00983417"/>
    <w:rsid w:val="00983CAC"/>
    <w:rsid w:val="00985AB5"/>
    <w:rsid w:val="00987A22"/>
    <w:rsid w:val="00990092"/>
    <w:rsid w:val="00990429"/>
    <w:rsid w:val="00990948"/>
    <w:rsid w:val="009920FF"/>
    <w:rsid w:val="0099350E"/>
    <w:rsid w:val="00996E8E"/>
    <w:rsid w:val="009A06A1"/>
    <w:rsid w:val="009A52E2"/>
    <w:rsid w:val="009A665B"/>
    <w:rsid w:val="009A6CC6"/>
    <w:rsid w:val="009A76F9"/>
    <w:rsid w:val="009B23EA"/>
    <w:rsid w:val="009B3290"/>
    <w:rsid w:val="009B381E"/>
    <w:rsid w:val="009B4A5F"/>
    <w:rsid w:val="009B71DC"/>
    <w:rsid w:val="009C238D"/>
    <w:rsid w:val="009C25D9"/>
    <w:rsid w:val="009C2752"/>
    <w:rsid w:val="009C2B24"/>
    <w:rsid w:val="009C2D1E"/>
    <w:rsid w:val="009C44A4"/>
    <w:rsid w:val="009C5EAE"/>
    <w:rsid w:val="009C6624"/>
    <w:rsid w:val="009C7327"/>
    <w:rsid w:val="009D1BA6"/>
    <w:rsid w:val="009D4DAF"/>
    <w:rsid w:val="009D4F3B"/>
    <w:rsid w:val="009D5452"/>
    <w:rsid w:val="009D5A94"/>
    <w:rsid w:val="009D6969"/>
    <w:rsid w:val="009E1366"/>
    <w:rsid w:val="009E1B4E"/>
    <w:rsid w:val="009E29C9"/>
    <w:rsid w:val="009E2B37"/>
    <w:rsid w:val="009E41AA"/>
    <w:rsid w:val="009E4949"/>
    <w:rsid w:val="009E5884"/>
    <w:rsid w:val="009E58ED"/>
    <w:rsid w:val="009E6374"/>
    <w:rsid w:val="009E63F1"/>
    <w:rsid w:val="009E6591"/>
    <w:rsid w:val="009E7B66"/>
    <w:rsid w:val="009F06B0"/>
    <w:rsid w:val="009F22AF"/>
    <w:rsid w:val="009F327C"/>
    <w:rsid w:val="009F366F"/>
    <w:rsid w:val="009F4CAE"/>
    <w:rsid w:val="009F54C3"/>
    <w:rsid w:val="009F72FA"/>
    <w:rsid w:val="009F799C"/>
    <w:rsid w:val="00A00346"/>
    <w:rsid w:val="00A0637C"/>
    <w:rsid w:val="00A072C5"/>
    <w:rsid w:val="00A07A20"/>
    <w:rsid w:val="00A106D4"/>
    <w:rsid w:val="00A112E7"/>
    <w:rsid w:val="00A17529"/>
    <w:rsid w:val="00A17562"/>
    <w:rsid w:val="00A17682"/>
    <w:rsid w:val="00A204E2"/>
    <w:rsid w:val="00A20532"/>
    <w:rsid w:val="00A20814"/>
    <w:rsid w:val="00A20D72"/>
    <w:rsid w:val="00A22421"/>
    <w:rsid w:val="00A225D0"/>
    <w:rsid w:val="00A22924"/>
    <w:rsid w:val="00A24686"/>
    <w:rsid w:val="00A25593"/>
    <w:rsid w:val="00A27068"/>
    <w:rsid w:val="00A2708A"/>
    <w:rsid w:val="00A27EEC"/>
    <w:rsid w:val="00A30C20"/>
    <w:rsid w:val="00A33926"/>
    <w:rsid w:val="00A34796"/>
    <w:rsid w:val="00A35590"/>
    <w:rsid w:val="00A401BA"/>
    <w:rsid w:val="00A40C3D"/>
    <w:rsid w:val="00A4162D"/>
    <w:rsid w:val="00A4290C"/>
    <w:rsid w:val="00A42D45"/>
    <w:rsid w:val="00A44D23"/>
    <w:rsid w:val="00A503B1"/>
    <w:rsid w:val="00A52229"/>
    <w:rsid w:val="00A54F6C"/>
    <w:rsid w:val="00A55652"/>
    <w:rsid w:val="00A56581"/>
    <w:rsid w:val="00A56AF1"/>
    <w:rsid w:val="00A60FAE"/>
    <w:rsid w:val="00A61B9E"/>
    <w:rsid w:val="00A62E1C"/>
    <w:rsid w:val="00A63839"/>
    <w:rsid w:val="00A6445C"/>
    <w:rsid w:val="00A6751F"/>
    <w:rsid w:val="00A70147"/>
    <w:rsid w:val="00A72E24"/>
    <w:rsid w:val="00A73ACA"/>
    <w:rsid w:val="00A749BF"/>
    <w:rsid w:val="00A74CC6"/>
    <w:rsid w:val="00A75729"/>
    <w:rsid w:val="00A76B01"/>
    <w:rsid w:val="00A76DC3"/>
    <w:rsid w:val="00A77929"/>
    <w:rsid w:val="00A80E81"/>
    <w:rsid w:val="00A822B2"/>
    <w:rsid w:val="00A82648"/>
    <w:rsid w:val="00A82B71"/>
    <w:rsid w:val="00A83729"/>
    <w:rsid w:val="00A83C8B"/>
    <w:rsid w:val="00A85D7B"/>
    <w:rsid w:val="00A87739"/>
    <w:rsid w:val="00A90503"/>
    <w:rsid w:val="00A93216"/>
    <w:rsid w:val="00A93F34"/>
    <w:rsid w:val="00A94B13"/>
    <w:rsid w:val="00A96C0B"/>
    <w:rsid w:val="00A96D1B"/>
    <w:rsid w:val="00A97519"/>
    <w:rsid w:val="00A979ED"/>
    <w:rsid w:val="00AA0BC7"/>
    <w:rsid w:val="00AA203D"/>
    <w:rsid w:val="00AA279E"/>
    <w:rsid w:val="00AA2D93"/>
    <w:rsid w:val="00AA537E"/>
    <w:rsid w:val="00AA59A0"/>
    <w:rsid w:val="00AA6FD4"/>
    <w:rsid w:val="00AB0812"/>
    <w:rsid w:val="00AB2920"/>
    <w:rsid w:val="00AB385C"/>
    <w:rsid w:val="00AB65BD"/>
    <w:rsid w:val="00AC0A94"/>
    <w:rsid w:val="00AC1A4B"/>
    <w:rsid w:val="00AC30EE"/>
    <w:rsid w:val="00AC3642"/>
    <w:rsid w:val="00AC4FDA"/>
    <w:rsid w:val="00AD0126"/>
    <w:rsid w:val="00AD01C2"/>
    <w:rsid w:val="00AD0FCB"/>
    <w:rsid w:val="00AD159C"/>
    <w:rsid w:val="00AD29A8"/>
    <w:rsid w:val="00AD320D"/>
    <w:rsid w:val="00AD4DD2"/>
    <w:rsid w:val="00AE1333"/>
    <w:rsid w:val="00AE6FA7"/>
    <w:rsid w:val="00AE7035"/>
    <w:rsid w:val="00AE7473"/>
    <w:rsid w:val="00AE7757"/>
    <w:rsid w:val="00AF060E"/>
    <w:rsid w:val="00AF2C85"/>
    <w:rsid w:val="00AF2D42"/>
    <w:rsid w:val="00AF569A"/>
    <w:rsid w:val="00AF572D"/>
    <w:rsid w:val="00AF5EEF"/>
    <w:rsid w:val="00AF79CB"/>
    <w:rsid w:val="00AF7F1E"/>
    <w:rsid w:val="00B012CD"/>
    <w:rsid w:val="00B01639"/>
    <w:rsid w:val="00B03B71"/>
    <w:rsid w:val="00B06E4F"/>
    <w:rsid w:val="00B07D81"/>
    <w:rsid w:val="00B13050"/>
    <w:rsid w:val="00B15C71"/>
    <w:rsid w:val="00B166B5"/>
    <w:rsid w:val="00B174D2"/>
    <w:rsid w:val="00B216CF"/>
    <w:rsid w:val="00B21946"/>
    <w:rsid w:val="00B246B4"/>
    <w:rsid w:val="00B262C8"/>
    <w:rsid w:val="00B26DB6"/>
    <w:rsid w:val="00B3015E"/>
    <w:rsid w:val="00B30D09"/>
    <w:rsid w:val="00B34382"/>
    <w:rsid w:val="00B34C51"/>
    <w:rsid w:val="00B3525C"/>
    <w:rsid w:val="00B36020"/>
    <w:rsid w:val="00B3735E"/>
    <w:rsid w:val="00B41404"/>
    <w:rsid w:val="00B41EA1"/>
    <w:rsid w:val="00B42A83"/>
    <w:rsid w:val="00B440B4"/>
    <w:rsid w:val="00B452A3"/>
    <w:rsid w:val="00B4537B"/>
    <w:rsid w:val="00B466C2"/>
    <w:rsid w:val="00B47D02"/>
    <w:rsid w:val="00B505F9"/>
    <w:rsid w:val="00B50E2D"/>
    <w:rsid w:val="00B510BF"/>
    <w:rsid w:val="00B523ED"/>
    <w:rsid w:val="00B5244A"/>
    <w:rsid w:val="00B531AB"/>
    <w:rsid w:val="00B53C34"/>
    <w:rsid w:val="00B651E4"/>
    <w:rsid w:val="00B65791"/>
    <w:rsid w:val="00B66A36"/>
    <w:rsid w:val="00B67D80"/>
    <w:rsid w:val="00B72438"/>
    <w:rsid w:val="00B72BAB"/>
    <w:rsid w:val="00B74559"/>
    <w:rsid w:val="00B74743"/>
    <w:rsid w:val="00B76557"/>
    <w:rsid w:val="00B846C0"/>
    <w:rsid w:val="00B85489"/>
    <w:rsid w:val="00B87179"/>
    <w:rsid w:val="00B87236"/>
    <w:rsid w:val="00B9048A"/>
    <w:rsid w:val="00B906E1"/>
    <w:rsid w:val="00B93B50"/>
    <w:rsid w:val="00B951FF"/>
    <w:rsid w:val="00BA000A"/>
    <w:rsid w:val="00BA026D"/>
    <w:rsid w:val="00BA0F40"/>
    <w:rsid w:val="00BA118B"/>
    <w:rsid w:val="00BA328B"/>
    <w:rsid w:val="00BA3D5F"/>
    <w:rsid w:val="00BA47F0"/>
    <w:rsid w:val="00BA4E0F"/>
    <w:rsid w:val="00BB0782"/>
    <w:rsid w:val="00BB0DE5"/>
    <w:rsid w:val="00BB1C7E"/>
    <w:rsid w:val="00BB2376"/>
    <w:rsid w:val="00BB2E04"/>
    <w:rsid w:val="00BB3000"/>
    <w:rsid w:val="00BB34E3"/>
    <w:rsid w:val="00BB5721"/>
    <w:rsid w:val="00BB69DB"/>
    <w:rsid w:val="00BB6F82"/>
    <w:rsid w:val="00BC2BA2"/>
    <w:rsid w:val="00BC2ED4"/>
    <w:rsid w:val="00BC36B3"/>
    <w:rsid w:val="00BC6BCA"/>
    <w:rsid w:val="00BD0693"/>
    <w:rsid w:val="00BD08E5"/>
    <w:rsid w:val="00BD0CA8"/>
    <w:rsid w:val="00BD0CCE"/>
    <w:rsid w:val="00BD0F2D"/>
    <w:rsid w:val="00BD1014"/>
    <w:rsid w:val="00BD396E"/>
    <w:rsid w:val="00BD4914"/>
    <w:rsid w:val="00BD55B7"/>
    <w:rsid w:val="00BD659A"/>
    <w:rsid w:val="00BD7AF5"/>
    <w:rsid w:val="00BD7F12"/>
    <w:rsid w:val="00BE0572"/>
    <w:rsid w:val="00BE0F0E"/>
    <w:rsid w:val="00BE20C3"/>
    <w:rsid w:val="00BE2331"/>
    <w:rsid w:val="00BE470D"/>
    <w:rsid w:val="00BE4A53"/>
    <w:rsid w:val="00BE7875"/>
    <w:rsid w:val="00BF0642"/>
    <w:rsid w:val="00BF1223"/>
    <w:rsid w:val="00BF21B1"/>
    <w:rsid w:val="00BF29AC"/>
    <w:rsid w:val="00BF4912"/>
    <w:rsid w:val="00BF4B8F"/>
    <w:rsid w:val="00BF7CC2"/>
    <w:rsid w:val="00BF7D51"/>
    <w:rsid w:val="00C000FD"/>
    <w:rsid w:val="00C005BC"/>
    <w:rsid w:val="00C01DF1"/>
    <w:rsid w:val="00C04D83"/>
    <w:rsid w:val="00C1070D"/>
    <w:rsid w:val="00C10B3B"/>
    <w:rsid w:val="00C11ECE"/>
    <w:rsid w:val="00C129DE"/>
    <w:rsid w:val="00C150BB"/>
    <w:rsid w:val="00C16B79"/>
    <w:rsid w:val="00C2099E"/>
    <w:rsid w:val="00C224C0"/>
    <w:rsid w:val="00C22816"/>
    <w:rsid w:val="00C22955"/>
    <w:rsid w:val="00C23CF0"/>
    <w:rsid w:val="00C249F4"/>
    <w:rsid w:val="00C26219"/>
    <w:rsid w:val="00C31272"/>
    <w:rsid w:val="00C31BB5"/>
    <w:rsid w:val="00C34505"/>
    <w:rsid w:val="00C34562"/>
    <w:rsid w:val="00C369F9"/>
    <w:rsid w:val="00C416C2"/>
    <w:rsid w:val="00C465EC"/>
    <w:rsid w:val="00C47AA5"/>
    <w:rsid w:val="00C51826"/>
    <w:rsid w:val="00C525CD"/>
    <w:rsid w:val="00C52A04"/>
    <w:rsid w:val="00C52F58"/>
    <w:rsid w:val="00C5468F"/>
    <w:rsid w:val="00C551BE"/>
    <w:rsid w:val="00C55F9D"/>
    <w:rsid w:val="00C579D5"/>
    <w:rsid w:val="00C57FF1"/>
    <w:rsid w:val="00C60145"/>
    <w:rsid w:val="00C60836"/>
    <w:rsid w:val="00C60B49"/>
    <w:rsid w:val="00C61564"/>
    <w:rsid w:val="00C6168E"/>
    <w:rsid w:val="00C62223"/>
    <w:rsid w:val="00C63544"/>
    <w:rsid w:val="00C65397"/>
    <w:rsid w:val="00C715BD"/>
    <w:rsid w:val="00C7228F"/>
    <w:rsid w:val="00C76128"/>
    <w:rsid w:val="00C82776"/>
    <w:rsid w:val="00C8303E"/>
    <w:rsid w:val="00C83C7F"/>
    <w:rsid w:val="00C84EC9"/>
    <w:rsid w:val="00C85731"/>
    <w:rsid w:val="00C8623C"/>
    <w:rsid w:val="00C8659B"/>
    <w:rsid w:val="00C8685C"/>
    <w:rsid w:val="00C87826"/>
    <w:rsid w:val="00C900B9"/>
    <w:rsid w:val="00C9066A"/>
    <w:rsid w:val="00C90AE0"/>
    <w:rsid w:val="00C926AE"/>
    <w:rsid w:val="00C9400D"/>
    <w:rsid w:val="00C9595A"/>
    <w:rsid w:val="00CA0FE5"/>
    <w:rsid w:val="00CA1B3B"/>
    <w:rsid w:val="00CA560E"/>
    <w:rsid w:val="00CA5CC9"/>
    <w:rsid w:val="00CA723F"/>
    <w:rsid w:val="00CB09CE"/>
    <w:rsid w:val="00CB1B1A"/>
    <w:rsid w:val="00CB2A6E"/>
    <w:rsid w:val="00CB40CD"/>
    <w:rsid w:val="00CB6C17"/>
    <w:rsid w:val="00CB7304"/>
    <w:rsid w:val="00CB78C4"/>
    <w:rsid w:val="00CC0897"/>
    <w:rsid w:val="00CC1CB4"/>
    <w:rsid w:val="00CC3478"/>
    <w:rsid w:val="00CC7D0A"/>
    <w:rsid w:val="00CD02AB"/>
    <w:rsid w:val="00CD13F8"/>
    <w:rsid w:val="00CD28D5"/>
    <w:rsid w:val="00CD2EA0"/>
    <w:rsid w:val="00CD330F"/>
    <w:rsid w:val="00CD4123"/>
    <w:rsid w:val="00CD6788"/>
    <w:rsid w:val="00CD681E"/>
    <w:rsid w:val="00CE11F6"/>
    <w:rsid w:val="00CE2716"/>
    <w:rsid w:val="00CE2DFA"/>
    <w:rsid w:val="00CE2F2A"/>
    <w:rsid w:val="00CE461E"/>
    <w:rsid w:val="00CE699E"/>
    <w:rsid w:val="00CE7B3A"/>
    <w:rsid w:val="00CF00D7"/>
    <w:rsid w:val="00CF01F6"/>
    <w:rsid w:val="00CF2C6A"/>
    <w:rsid w:val="00CF5CDF"/>
    <w:rsid w:val="00CF6DC4"/>
    <w:rsid w:val="00CF76B3"/>
    <w:rsid w:val="00CF77BF"/>
    <w:rsid w:val="00CF7D07"/>
    <w:rsid w:val="00D00BE7"/>
    <w:rsid w:val="00D00E94"/>
    <w:rsid w:val="00D0144A"/>
    <w:rsid w:val="00D03109"/>
    <w:rsid w:val="00D03A53"/>
    <w:rsid w:val="00D04219"/>
    <w:rsid w:val="00D042B9"/>
    <w:rsid w:val="00D075C8"/>
    <w:rsid w:val="00D100AF"/>
    <w:rsid w:val="00D100F6"/>
    <w:rsid w:val="00D11A4B"/>
    <w:rsid w:val="00D14823"/>
    <w:rsid w:val="00D15769"/>
    <w:rsid w:val="00D17BFC"/>
    <w:rsid w:val="00D21F05"/>
    <w:rsid w:val="00D21F73"/>
    <w:rsid w:val="00D24521"/>
    <w:rsid w:val="00D250E4"/>
    <w:rsid w:val="00D270E9"/>
    <w:rsid w:val="00D27C6F"/>
    <w:rsid w:val="00D30B66"/>
    <w:rsid w:val="00D31842"/>
    <w:rsid w:val="00D31C14"/>
    <w:rsid w:val="00D35098"/>
    <w:rsid w:val="00D36F00"/>
    <w:rsid w:val="00D40A25"/>
    <w:rsid w:val="00D42F42"/>
    <w:rsid w:val="00D43767"/>
    <w:rsid w:val="00D4461C"/>
    <w:rsid w:val="00D478F6"/>
    <w:rsid w:val="00D501A1"/>
    <w:rsid w:val="00D52251"/>
    <w:rsid w:val="00D60512"/>
    <w:rsid w:val="00D60B36"/>
    <w:rsid w:val="00D61D54"/>
    <w:rsid w:val="00D61E0D"/>
    <w:rsid w:val="00D63CCB"/>
    <w:rsid w:val="00D65446"/>
    <w:rsid w:val="00D65E59"/>
    <w:rsid w:val="00D67480"/>
    <w:rsid w:val="00D67A1A"/>
    <w:rsid w:val="00D7055A"/>
    <w:rsid w:val="00D70A75"/>
    <w:rsid w:val="00D72A31"/>
    <w:rsid w:val="00D73D1F"/>
    <w:rsid w:val="00D7465B"/>
    <w:rsid w:val="00D8203D"/>
    <w:rsid w:val="00D82F51"/>
    <w:rsid w:val="00D85741"/>
    <w:rsid w:val="00D8626B"/>
    <w:rsid w:val="00D903E2"/>
    <w:rsid w:val="00D9055C"/>
    <w:rsid w:val="00D90A45"/>
    <w:rsid w:val="00D90C50"/>
    <w:rsid w:val="00D92F9F"/>
    <w:rsid w:val="00D92FBF"/>
    <w:rsid w:val="00D93260"/>
    <w:rsid w:val="00D934F0"/>
    <w:rsid w:val="00D94754"/>
    <w:rsid w:val="00D94C5D"/>
    <w:rsid w:val="00D95E2C"/>
    <w:rsid w:val="00D96FF9"/>
    <w:rsid w:val="00D977EB"/>
    <w:rsid w:val="00DA07D5"/>
    <w:rsid w:val="00DA3DF4"/>
    <w:rsid w:val="00DA48DA"/>
    <w:rsid w:val="00DA6912"/>
    <w:rsid w:val="00DA6976"/>
    <w:rsid w:val="00DA7ECA"/>
    <w:rsid w:val="00DB0169"/>
    <w:rsid w:val="00DB02E7"/>
    <w:rsid w:val="00DB0AC3"/>
    <w:rsid w:val="00DB19FF"/>
    <w:rsid w:val="00DB1F3F"/>
    <w:rsid w:val="00DB2168"/>
    <w:rsid w:val="00DB2200"/>
    <w:rsid w:val="00DB31BA"/>
    <w:rsid w:val="00DB41EA"/>
    <w:rsid w:val="00DB456B"/>
    <w:rsid w:val="00DB67FA"/>
    <w:rsid w:val="00DB6D2A"/>
    <w:rsid w:val="00DB6E4E"/>
    <w:rsid w:val="00DB715E"/>
    <w:rsid w:val="00DB71DB"/>
    <w:rsid w:val="00DB79CA"/>
    <w:rsid w:val="00DC2152"/>
    <w:rsid w:val="00DC6060"/>
    <w:rsid w:val="00DC611C"/>
    <w:rsid w:val="00DC663A"/>
    <w:rsid w:val="00DC7E22"/>
    <w:rsid w:val="00DD0632"/>
    <w:rsid w:val="00DD2A09"/>
    <w:rsid w:val="00DD31EE"/>
    <w:rsid w:val="00DD3713"/>
    <w:rsid w:val="00DD3B2B"/>
    <w:rsid w:val="00DD3CB9"/>
    <w:rsid w:val="00DD55D5"/>
    <w:rsid w:val="00DD590B"/>
    <w:rsid w:val="00DD6D36"/>
    <w:rsid w:val="00DD6D7E"/>
    <w:rsid w:val="00DD6F0F"/>
    <w:rsid w:val="00DE12BA"/>
    <w:rsid w:val="00DE7345"/>
    <w:rsid w:val="00DF043F"/>
    <w:rsid w:val="00DF06A5"/>
    <w:rsid w:val="00DF2041"/>
    <w:rsid w:val="00DF253B"/>
    <w:rsid w:val="00DF278B"/>
    <w:rsid w:val="00DF3D29"/>
    <w:rsid w:val="00DF6EFD"/>
    <w:rsid w:val="00DF742C"/>
    <w:rsid w:val="00DF7938"/>
    <w:rsid w:val="00E000E2"/>
    <w:rsid w:val="00E004DB"/>
    <w:rsid w:val="00E005C1"/>
    <w:rsid w:val="00E01B3E"/>
    <w:rsid w:val="00E01C97"/>
    <w:rsid w:val="00E020B4"/>
    <w:rsid w:val="00E028C6"/>
    <w:rsid w:val="00E02B72"/>
    <w:rsid w:val="00E0403C"/>
    <w:rsid w:val="00E07299"/>
    <w:rsid w:val="00E10987"/>
    <w:rsid w:val="00E10E9F"/>
    <w:rsid w:val="00E12162"/>
    <w:rsid w:val="00E1237D"/>
    <w:rsid w:val="00E1246C"/>
    <w:rsid w:val="00E15335"/>
    <w:rsid w:val="00E15FE2"/>
    <w:rsid w:val="00E17A0A"/>
    <w:rsid w:val="00E20973"/>
    <w:rsid w:val="00E20EAD"/>
    <w:rsid w:val="00E2114F"/>
    <w:rsid w:val="00E231B5"/>
    <w:rsid w:val="00E2605C"/>
    <w:rsid w:val="00E26138"/>
    <w:rsid w:val="00E27D5F"/>
    <w:rsid w:val="00E32F77"/>
    <w:rsid w:val="00E33F31"/>
    <w:rsid w:val="00E34C9F"/>
    <w:rsid w:val="00E37B03"/>
    <w:rsid w:val="00E41838"/>
    <w:rsid w:val="00E429CC"/>
    <w:rsid w:val="00E44A2E"/>
    <w:rsid w:val="00E456B9"/>
    <w:rsid w:val="00E51892"/>
    <w:rsid w:val="00E51C99"/>
    <w:rsid w:val="00E5267F"/>
    <w:rsid w:val="00E52E82"/>
    <w:rsid w:val="00E541DB"/>
    <w:rsid w:val="00E549A6"/>
    <w:rsid w:val="00E54F18"/>
    <w:rsid w:val="00E60E89"/>
    <w:rsid w:val="00E61936"/>
    <w:rsid w:val="00E62BA0"/>
    <w:rsid w:val="00E64002"/>
    <w:rsid w:val="00E65069"/>
    <w:rsid w:val="00E6615D"/>
    <w:rsid w:val="00E661DA"/>
    <w:rsid w:val="00E666A2"/>
    <w:rsid w:val="00E676F8"/>
    <w:rsid w:val="00E6795C"/>
    <w:rsid w:val="00E70CBD"/>
    <w:rsid w:val="00E70FF3"/>
    <w:rsid w:val="00E723B5"/>
    <w:rsid w:val="00E72D9D"/>
    <w:rsid w:val="00E73A92"/>
    <w:rsid w:val="00E760AA"/>
    <w:rsid w:val="00E775D3"/>
    <w:rsid w:val="00E806D4"/>
    <w:rsid w:val="00E827E8"/>
    <w:rsid w:val="00E832F5"/>
    <w:rsid w:val="00E85FC6"/>
    <w:rsid w:val="00E86D1B"/>
    <w:rsid w:val="00E87DB5"/>
    <w:rsid w:val="00E922EA"/>
    <w:rsid w:val="00E93CCA"/>
    <w:rsid w:val="00E963FB"/>
    <w:rsid w:val="00E975A8"/>
    <w:rsid w:val="00EA0275"/>
    <w:rsid w:val="00EA29A3"/>
    <w:rsid w:val="00EA3E53"/>
    <w:rsid w:val="00EA543D"/>
    <w:rsid w:val="00EA71B1"/>
    <w:rsid w:val="00EB025B"/>
    <w:rsid w:val="00EB18CA"/>
    <w:rsid w:val="00EB198B"/>
    <w:rsid w:val="00EB2240"/>
    <w:rsid w:val="00EB38EF"/>
    <w:rsid w:val="00EB44C1"/>
    <w:rsid w:val="00EB7FF7"/>
    <w:rsid w:val="00EC15BB"/>
    <w:rsid w:val="00EC161A"/>
    <w:rsid w:val="00EC4E93"/>
    <w:rsid w:val="00EC6E0D"/>
    <w:rsid w:val="00ED006E"/>
    <w:rsid w:val="00ED0802"/>
    <w:rsid w:val="00ED4506"/>
    <w:rsid w:val="00ED5D29"/>
    <w:rsid w:val="00ED6EE3"/>
    <w:rsid w:val="00ED6F01"/>
    <w:rsid w:val="00EE0CC2"/>
    <w:rsid w:val="00EE1F28"/>
    <w:rsid w:val="00EE46DE"/>
    <w:rsid w:val="00EE7541"/>
    <w:rsid w:val="00EE79AE"/>
    <w:rsid w:val="00EF067B"/>
    <w:rsid w:val="00EF0CD0"/>
    <w:rsid w:val="00EF284D"/>
    <w:rsid w:val="00EF2A2C"/>
    <w:rsid w:val="00EF30E5"/>
    <w:rsid w:val="00EF4272"/>
    <w:rsid w:val="00EF5746"/>
    <w:rsid w:val="00EF587D"/>
    <w:rsid w:val="00EF7A51"/>
    <w:rsid w:val="00EF7E66"/>
    <w:rsid w:val="00F0098C"/>
    <w:rsid w:val="00F03628"/>
    <w:rsid w:val="00F04F94"/>
    <w:rsid w:val="00F06D25"/>
    <w:rsid w:val="00F11E9E"/>
    <w:rsid w:val="00F1504E"/>
    <w:rsid w:val="00F1512E"/>
    <w:rsid w:val="00F206EA"/>
    <w:rsid w:val="00F214D4"/>
    <w:rsid w:val="00F232DE"/>
    <w:rsid w:val="00F24977"/>
    <w:rsid w:val="00F24B2C"/>
    <w:rsid w:val="00F26279"/>
    <w:rsid w:val="00F2705F"/>
    <w:rsid w:val="00F2764C"/>
    <w:rsid w:val="00F27C6C"/>
    <w:rsid w:val="00F33BDF"/>
    <w:rsid w:val="00F3415C"/>
    <w:rsid w:val="00F3755A"/>
    <w:rsid w:val="00F37A62"/>
    <w:rsid w:val="00F37B99"/>
    <w:rsid w:val="00F4129B"/>
    <w:rsid w:val="00F422FE"/>
    <w:rsid w:val="00F43AF9"/>
    <w:rsid w:val="00F43F47"/>
    <w:rsid w:val="00F45473"/>
    <w:rsid w:val="00F45A78"/>
    <w:rsid w:val="00F468B8"/>
    <w:rsid w:val="00F470C3"/>
    <w:rsid w:val="00F51A9F"/>
    <w:rsid w:val="00F52D4D"/>
    <w:rsid w:val="00F52E60"/>
    <w:rsid w:val="00F537FA"/>
    <w:rsid w:val="00F618F1"/>
    <w:rsid w:val="00F62A1B"/>
    <w:rsid w:val="00F63717"/>
    <w:rsid w:val="00F650D3"/>
    <w:rsid w:val="00F6643C"/>
    <w:rsid w:val="00F7024F"/>
    <w:rsid w:val="00F72189"/>
    <w:rsid w:val="00F72BAB"/>
    <w:rsid w:val="00F73219"/>
    <w:rsid w:val="00F73667"/>
    <w:rsid w:val="00F73885"/>
    <w:rsid w:val="00F73D39"/>
    <w:rsid w:val="00F7454F"/>
    <w:rsid w:val="00F7637B"/>
    <w:rsid w:val="00F76BCF"/>
    <w:rsid w:val="00F77CF6"/>
    <w:rsid w:val="00F8335E"/>
    <w:rsid w:val="00F86559"/>
    <w:rsid w:val="00F87C10"/>
    <w:rsid w:val="00F91E8F"/>
    <w:rsid w:val="00F92280"/>
    <w:rsid w:val="00F941F9"/>
    <w:rsid w:val="00F943CE"/>
    <w:rsid w:val="00F9478D"/>
    <w:rsid w:val="00F95680"/>
    <w:rsid w:val="00F956CE"/>
    <w:rsid w:val="00F95FDF"/>
    <w:rsid w:val="00F9623E"/>
    <w:rsid w:val="00FA062B"/>
    <w:rsid w:val="00FA0D5C"/>
    <w:rsid w:val="00FA1077"/>
    <w:rsid w:val="00FA21AA"/>
    <w:rsid w:val="00FA47DC"/>
    <w:rsid w:val="00FA6179"/>
    <w:rsid w:val="00FA66DE"/>
    <w:rsid w:val="00FA6C94"/>
    <w:rsid w:val="00FA7CB6"/>
    <w:rsid w:val="00FB071A"/>
    <w:rsid w:val="00FB1A16"/>
    <w:rsid w:val="00FB1A1C"/>
    <w:rsid w:val="00FB2692"/>
    <w:rsid w:val="00FB45DC"/>
    <w:rsid w:val="00FB5D3B"/>
    <w:rsid w:val="00FB5FAE"/>
    <w:rsid w:val="00FB658F"/>
    <w:rsid w:val="00FB676B"/>
    <w:rsid w:val="00FB743A"/>
    <w:rsid w:val="00FB75B2"/>
    <w:rsid w:val="00FB7FC4"/>
    <w:rsid w:val="00FC0303"/>
    <w:rsid w:val="00FC1267"/>
    <w:rsid w:val="00FC28C3"/>
    <w:rsid w:val="00FC2B12"/>
    <w:rsid w:val="00FC430A"/>
    <w:rsid w:val="00FC5120"/>
    <w:rsid w:val="00FC5961"/>
    <w:rsid w:val="00FC5F3D"/>
    <w:rsid w:val="00FD0D95"/>
    <w:rsid w:val="00FD3526"/>
    <w:rsid w:val="00FD5713"/>
    <w:rsid w:val="00FD64BF"/>
    <w:rsid w:val="00FD6CF0"/>
    <w:rsid w:val="00FD7CF9"/>
    <w:rsid w:val="00FE0185"/>
    <w:rsid w:val="00FE0DFF"/>
    <w:rsid w:val="00FE39A9"/>
    <w:rsid w:val="00FE4B86"/>
    <w:rsid w:val="00FE6A77"/>
    <w:rsid w:val="00FF1929"/>
    <w:rsid w:val="00FF1D41"/>
    <w:rsid w:val="00FF2CC0"/>
    <w:rsid w:val="00FF2F4B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96567"/>
  <w15:docId w15:val="{C8C65004-9FEB-49B1-841A-4ED35451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670C79"/>
    <w:pPr>
      <w:keepNext/>
      <w:spacing w:line="360" w:lineRule="auto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670C79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D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6">
    <w:name w:val="heading 6"/>
    <w:basedOn w:val="Normal"/>
    <w:next w:val="Normal"/>
    <w:link w:val="Heading6Char"/>
    <w:qFormat/>
    <w:rsid w:val="00670C79"/>
    <w:pPr>
      <w:keepNext/>
      <w:spacing w:before="120" w:after="120" w:line="360" w:lineRule="auto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670C79"/>
    <w:rPr>
      <w:rFonts w:ascii="Times New Roman" w:eastAsia="Times New Roman" w:hAnsi="Times New Roman" w:cs="Times New Roman"/>
      <w:b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semiHidden/>
    <w:rsid w:val="00670C79"/>
    <w:pPr>
      <w:spacing w:before="120" w:after="120" w:line="360" w:lineRule="auto"/>
      <w:ind w:firstLine="357"/>
    </w:pPr>
    <w:rPr>
      <w:b/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70C79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2">
    <w:name w:val="Body Text 2"/>
    <w:basedOn w:val="Normal"/>
    <w:link w:val="BodyText2Char"/>
    <w:semiHidden/>
    <w:rsid w:val="00670C79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Title">
    <w:name w:val="Title"/>
    <w:basedOn w:val="Normal"/>
    <w:link w:val="TitleChar"/>
    <w:qFormat/>
    <w:rsid w:val="00670C79"/>
    <w:pPr>
      <w:spacing w:line="360" w:lineRule="auto"/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70C79"/>
    <w:rPr>
      <w:rFonts w:ascii="Times New Roman" w:eastAsia="Times New Roman" w:hAnsi="Times New Roman" w:cs="Times New Roman"/>
      <w:b/>
      <w:sz w:val="32"/>
      <w:szCs w:val="32"/>
      <w:lang w:val="ro-RO"/>
    </w:rPr>
  </w:style>
  <w:style w:type="paragraph" w:styleId="Footer">
    <w:name w:val="footer"/>
    <w:basedOn w:val="Normal"/>
    <w:link w:val="FooterChar"/>
    <w:uiPriority w:val="99"/>
    <w:rsid w:val="00670C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C7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670C79"/>
  </w:style>
  <w:style w:type="table" w:styleId="TableGrid">
    <w:name w:val="Table Grid"/>
    <w:basedOn w:val="TableNormal"/>
    <w:rsid w:val="00670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70C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0C79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NoSpacing">
    <w:name w:val="No Spacing"/>
    <w:link w:val="NoSpacingChar"/>
    <w:qFormat/>
    <w:rsid w:val="00966D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966D0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E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E0F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nhideWhenUsed/>
    <w:rsid w:val="00CE7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7B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7B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C01DF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/>
    </w:rPr>
  </w:style>
  <w:style w:type="paragraph" w:styleId="ListParagraph">
    <w:name w:val="List Paragraph"/>
    <w:aliases w:val="Normal bullet 2,List Paragraph1,List1,body 2,List Paragraph11,Listă colorată - Accentuare 11,Bullet,Citation List,Forth level"/>
    <w:basedOn w:val="Normal"/>
    <w:link w:val="ListParagraphChar"/>
    <w:uiPriority w:val="34"/>
    <w:qFormat/>
    <w:rsid w:val="00CD681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"/>
    <w:link w:val="ListParagraph"/>
    <w:uiPriority w:val="34"/>
    <w:locked/>
    <w:rsid w:val="009B71DC"/>
    <w:rPr>
      <w:sz w:val="24"/>
      <w:szCs w:val="24"/>
      <w:lang w:val="ro-RO"/>
    </w:rPr>
  </w:style>
  <w:style w:type="character" w:customStyle="1" w:styleId="ColorfulList-Accent1Char">
    <w:name w:val="Colorful List - Accent 1 Char"/>
    <w:link w:val="ColorfulList-Accent1"/>
    <w:uiPriority w:val="34"/>
    <w:locked/>
    <w:rsid w:val="009B71DC"/>
    <w:rPr>
      <w:noProof/>
      <w:sz w:val="24"/>
      <w:szCs w:val="24"/>
      <w:lang w:val="ro-RO"/>
    </w:rPr>
  </w:style>
  <w:style w:type="table" w:styleId="ColorfulList-Accent1">
    <w:name w:val="Colorful List Accent 1"/>
    <w:basedOn w:val="TableNormal"/>
    <w:link w:val="ColorfulList-Accent1Char"/>
    <w:uiPriority w:val="34"/>
    <w:rsid w:val="009B71DC"/>
    <w:pPr>
      <w:spacing w:after="0" w:line="240" w:lineRule="auto"/>
    </w:pPr>
    <w:rPr>
      <w:noProof/>
      <w:sz w:val="24"/>
      <w:szCs w:val="24"/>
      <w:lang w:val="ro-RO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A47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7F0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panchor">
    <w:name w:val="panchor"/>
    <w:basedOn w:val="DefaultParagraphFont"/>
    <w:rsid w:val="00161A61"/>
  </w:style>
  <w:style w:type="character" w:styleId="Hyperlink">
    <w:name w:val="Hyperlink"/>
    <w:basedOn w:val="DefaultParagraphFont"/>
    <w:uiPriority w:val="99"/>
    <w:unhideWhenUsed/>
    <w:rsid w:val="001B7961"/>
    <w:rPr>
      <w:color w:val="0000FF"/>
      <w:u w:val="single"/>
    </w:rPr>
  </w:style>
  <w:style w:type="character" w:customStyle="1" w:styleId="slgi">
    <w:name w:val="s_lgi"/>
    <w:basedOn w:val="DefaultParagraphFont"/>
    <w:rsid w:val="00EF067B"/>
  </w:style>
  <w:style w:type="paragraph" w:styleId="Revision">
    <w:name w:val="Revision"/>
    <w:hidden/>
    <w:uiPriority w:val="99"/>
    <w:semiHidden/>
    <w:rsid w:val="00E51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357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1EC"/>
    <w:rPr>
      <w:color w:val="605E5C"/>
      <w:shd w:val="clear" w:color="auto" w:fill="E1DFDD"/>
    </w:rPr>
  </w:style>
  <w:style w:type="paragraph" w:customStyle="1" w:styleId="Default">
    <w:name w:val="Default"/>
    <w:rsid w:val="00406B0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F63717"/>
    <w:pPr>
      <w:spacing w:before="200" w:after="160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63717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</w:rPr>
  </w:style>
  <w:style w:type="table" w:customStyle="1" w:styleId="TableGrid11">
    <w:name w:val="Table Grid11"/>
    <w:basedOn w:val="TableNormal"/>
    <w:next w:val="TableGrid"/>
    <w:uiPriority w:val="99"/>
    <w:rsid w:val="00936F16"/>
    <w:pPr>
      <w:spacing w:after="0" w:line="240" w:lineRule="auto"/>
    </w:pPr>
    <w:rPr>
      <w:rFonts w:ascii="Calibri" w:eastAsia="MS Mincho" w:hAnsi="Calibri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99"/>
    <w:rsid w:val="00936F16"/>
    <w:pPr>
      <w:spacing w:after="0" w:line="240" w:lineRule="auto"/>
    </w:pPr>
    <w:rPr>
      <w:rFonts w:ascii="Cambria" w:eastAsia="MS Mincho" w:hAnsi="Cambria" w:cs="Cambria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AC204-2CA6-40D1-AC13-CD23AE19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1759</Words>
  <Characters>10031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IULIANA-MIHAELA CERNAZEANU</dc:creator>
  <cp:lastModifiedBy>Sorin Emil Bolchis</cp:lastModifiedBy>
  <cp:revision>3</cp:revision>
  <cp:lastPrinted>2025-08-05T08:03:00Z</cp:lastPrinted>
  <dcterms:created xsi:type="dcterms:W3CDTF">2025-08-05T10:25:00Z</dcterms:created>
  <dcterms:modified xsi:type="dcterms:W3CDTF">2025-08-05T10:26:00Z</dcterms:modified>
</cp:coreProperties>
</file>