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3F3" w:rsidRPr="004F3E9D" w:rsidRDefault="00C237DA">
      <w:pPr>
        <w:pStyle w:val="al"/>
        <w:spacing w:line="345" w:lineRule="atLeast"/>
        <w:rPr>
          <w:rFonts w:ascii="Trebuchet MS" w:hAnsi="Trebuchet MS" w:cs="Arial"/>
          <w:color w:val="333333"/>
        </w:rPr>
      </w:pPr>
      <w:r w:rsidRPr="004F3E9D">
        <w:rPr>
          <w:rFonts w:ascii="Trebuchet MS" w:hAnsi="Trebuchet MS" w:cs="Arial"/>
          <w:color w:val="333333"/>
        </w:rPr>
        <w:t xml:space="preserve"> </w:t>
      </w:r>
    </w:p>
    <w:p w:rsidR="00837FCC" w:rsidRPr="00635B89" w:rsidRDefault="003403F2" w:rsidP="00635B89">
      <w:pPr>
        <w:pStyle w:val="Heading4"/>
        <w:ind w:right="461"/>
        <w:jc w:val="right"/>
        <w:rPr>
          <w:rFonts w:eastAsia="Times New Roman"/>
          <w:color w:val="333333"/>
        </w:rPr>
      </w:pP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Pr>
          <w:rFonts w:ascii="Trebuchet MS" w:eastAsia="Times New Roman" w:hAnsi="Trebuchet MS"/>
          <w:color w:val="333333"/>
        </w:rPr>
        <w:tab/>
      </w:r>
      <w:r w:rsidRPr="00635B89">
        <w:rPr>
          <w:rFonts w:eastAsia="Times New Roman"/>
          <w:color w:val="333333"/>
        </w:rPr>
        <w:t xml:space="preserve">   </w:t>
      </w:r>
      <w:r w:rsidR="00635B89" w:rsidRPr="00635B89">
        <w:rPr>
          <w:rFonts w:eastAsia="Times New Roman"/>
          <w:color w:val="333333"/>
        </w:rPr>
        <w:t xml:space="preserve">ANEXA </w:t>
      </w:r>
      <w:r w:rsidR="00837FCC" w:rsidRPr="00635B89">
        <w:rPr>
          <w:rFonts w:eastAsia="Times New Roman"/>
          <w:color w:val="333333"/>
        </w:rPr>
        <w:t>nr</w:t>
      </w:r>
      <w:r w:rsidR="00CE36DD" w:rsidRPr="00635B89">
        <w:rPr>
          <w:rFonts w:eastAsia="Times New Roman"/>
          <w:color w:val="333333"/>
        </w:rPr>
        <w:t xml:space="preserve">. </w:t>
      </w:r>
      <w:r w:rsidR="00635B89" w:rsidRPr="00635B89">
        <w:rPr>
          <w:rFonts w:eastAsia="Times New Roman"/>
          <w:color w:val="333333"/>
        </w:rPr>
        <w:t>4</w:t>
      </w:r>
    </w:p>
    <w:p w:rsidR="00942870" w:rsidRPr="00635B89" w:rsidRDefault="00635B89" w:rsidP="00635B89">
      <w:pPr>
        <w:spacing w:after="0" w:line="240" w:lineRule="auto"/>
        <w:ind w:right="425"/>
        <w:jc w:val="right"/>
        <w:rPr>
          <w:rFonts w:ascii="Times New Roman" w:eastAsia="Times New Roman" w:hAnsi="Times New Roman" w:cs="Times New Roman"/>
          <w:b/>
          <w:bCs/>
          <w:color w:val="333333"/>
          <w:sz w:val="24"/>
          <w:szCs w:val="24"/>
        </w:rPr>
      </w:pPr>
      <w:r w:rsidRPr="00635B89">
        <w:rPr>
          <w:rFonts w:ascii="Times New Roman" w:eastAsia="Times New Roman" w:hAnsi="Times New Roman" w:cs="Times New Roman"/>
          <w:b/>
          <w:color w:val="333333"/>
          <w:sz w:val="24"/>
          <w:szCs w:val="24"/>
        </w:rPr>
        <w:t xml:space="preserve"> </w:t>
      </w:r>
      <w:r w:rsidRPr="00635B89">
        <w:rPr>
          <w:rFonts w:ascii="Times New Roman" w:eastAsia="Times New Roman" w:hAnsi="Times New Roman" w:cs="Times New Roman"/>
          <w:b/>
          <w:color w:val="333333"/>
          <w:sz w:val="24"/>
          <w:szCs w:val="24"/>
        </w:rPr>
        <w:t xml:space="preserve">(Anexa nr.7 la </w:t>
      </w:r>
      <w:proofErr w:type="spellStart"/>
      <w:r w:rsidRPr="00635B89">
        <w:rPr>
          <w:rFonts w:ascii="Times New Roman" w:eastAsia="Times New Roman" w:hAnsi="Times New Roman" w:cs="Times New Roman"/>
          <w:b/>
          <w:color w:val="333333"/>
          <w:sz w:val="24"/>
          <w:szCs w:val="24"/>
        </w:rPr>
        <w:t>Ordonanta</w:t>
      </w:r>
      <w:proofErr w:type="spellEnd"/>
      <w:r w:rsidRPr="00635B89">
        <w:rPr>
          <w:rFonts w:ascii="Times New Roman" w:eastAsia="Times New Roman" w:hAnsi="Times New Roman" w:cs="Times New Roman"/>
          <w:b/>
          <w:color w:val="333333"/>
          <w:sz w:val="24"/>
          <w:szCs w:val="24"/>
        </w:rPr>
        <w:t xml:space="preserve"> Guvernului nr.</w:t>
      </w:r>
      <w:r w:rsidRPr="00635B89">
        <w:rPr>
          <w:rFonts w:eastAsia="Times New Roman"/>
          <w:b/>
          <w:color w:val="333333"/>
        </w:rPr>
        <w:t xml:space="preserve"> </w:t>
      </w:r>
      <w:r w:rsidRPr="00635B89">
        <w:rPr>
          <w:rFonts w:ascii="Times New Roman" w:eastAsia="Times New Roman" w:hAnsi="Times New Roman" w:cs="Times New Roman"/>
          <w:b/>
          <w:color w:val="333333"/>
          <w:sz w:val="24"/>
          <w:szCs w:val="24"/>
        </w:rPr>
        <w:t>15/2002)</w:t>
      </w:r>
    </w:p>
    <w:p w:rsidR="00635B89" w:rsidRDefault="00CE36DD" w:rsidP="00635B89">
      <w:pPr>
        <w:spacing w:after="0" w:line="240" w:lineRule="auto"/>
        <w:ind w:right="425"/>
        <w:jc w:val="center"/>
        <w:rPr>
          <w:rFonts w:ascii="Times New Roman" w:eastAsia="Times New Roman" w:hAnsi="Times New Roman" w:cs="Times New Roman"/>
          <w:b/>
          <w:bCs/>
          <w:color w:val="333333"/>
          <w:sz w:val="24"/>
          <w:szCs w:val="24"/>
        </w:rPr>
      </w:pPr>
      <w:r w:rsidRPr="00635B89">
        <w:rPr>
          <w:rFonts w:ascii="Times New Roman" w:eastAsia="Times New Roman" w:hAnsi="Times New Roman" w:cs="Times New Roman"/>
          <w:b/>
          <w:bCs/>
          <w:color w:val="333333"/>
          <w:sz w:val="24"/>
          <w:szCs w:val="24"/>
        </w:rPr>
        <w:br/>
      </w:r>
      <w:r w:rsidR="00635B89">
        <w:rPr>
          <w:rFonts w:ascii="Times New Roman" w:eastAsia="Times New Roman" w:hAnsi="Times New Roman" w:cs="Times New Roman"/>
          <w:b/>
          <w:bCs/>
          <w:color w:val="333333"/>
          <w:sz w:val="24"/>
          <w:szCs w:val="24"/>
        </w:rPr>
        <w:t xml:space="preserve">Nivelul </w:t>
      </w:r>
    </w:p>
    <w:p w:rsidR="003B63F3" w:rsidRPr="00635B89" w:rsidRDefault="00635B89" w:rsidP="00635B89">
      <w:pPr>
        <w:spacing w:after="0" w:line="240" w:lineRule="auto"/>
        <w:ind w:right="425"/>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tarifelor de trecere  </w:t>
      </w:r>
      <w:r w:rsidR="00CE36DD" w:rsidRPr="00635B89">
        <w:rPr>
          <w:rFonts w:ascii="Times New Roman" w:eastAsia="Times New Roman" w:hAnsi="Times New Roman" w:cs="Times New Roman"/>
          <w:b/>
          <w:bCs/>
          <w:color w:val="333333"/>
          <w:sz w:val="24"/>
          <w:szCs w:val="24"/>
        </w:rPr>
        <w:t xml:space="preserve">pentru utilizarea podurilor peste Dunăre între </w:t>
      </w:r>
      <w:proofErr w:type="spellStart"/>
      <w:r w:rsidR="00CE36DD" w:rsidRPr="00635B89">
        <w:rPr>
          <w:rFonts w:ascii="Times New Roman" w:eastAsia="Times New Roman" w:hAnsi="Times New Roman" w:cs="Times New Roman"/>
          <w:b/>
          <w:bCs/>
          <w:color w:val="333333"/>
          <w:sz w:val="24"/>
          <w:szCs w:val="24"/>
        </w:rPr>
        <w:t>Feteşti</w:t>
      </w:r>
      <w:proofErr w:type="spellEnd"/>
      <w:r w:rsidR="00CE36DD" w:rsidRPr="00635B89">
        <w:rPr>
          <w:rFonts w:ascii="Times New Roman" w:eastAsia="Times New Roman" w:hAnsi="Times New Roman" w:cs="Times New Roman"/>
          <w:b/>
          <w:bCs/>
          <w:color w:val="333333"/>
          <w:sz w:val="24"/>
          <w:szCs w:val="24"/>
        </w:rPr>
        <w:t xml:space="preserve"> </w:t>
      </w:r>
      <w:proofErr w:type="spellStart"/>
      <w:r w:rsidR="00CE36DD" w:rsidRPr="00635B89">
        <w:rPr>
          <w:rFonts w:ascii="Times New Roman" w:eastAsia="Times New Roman" w:hAnsi="Times New Roman" w:cs="Times New Roman"/>
          <w:b/>
          <w:bCs/>
          <w:color w:val="333333"/>
          <w:sz w:val="24"/>
          <w:szCs w:val="24"/>
        </w:rPr>
        <w:t>şi</w:t>
      </w:r>
      <w:proofErr w:type="spellEnd"/>
      <w:r w:rsidR="00CE36DD" w:rsidRPr="00635B89">
        <w:rPr>
          <w:rFonts w:ascii="Times New Roman" w:eastAsia="Times New Roman" w:hAnsi="Times New Roman" w:cs="Times New Roman"/>
          <w:b/>
          <w:bCs/>
          <w:color w:val="333333"/>
          <w:sz w:val="24"/>
          <w:szCs w:val="24"/>
        </w:rPr>
        <w:t xml:space="preserve"> </w:t>
      </w:r>
      <w:proofErr w:type="spellStart"/>
      <w:r w:rsidR="00CE36DD" w:rsidRPr="00635B89">
        <w:rPr>
          <w:rFonts w:ascii="Times New Roman" w:eastAsia="Times New Roman" w:hAnsi="Times New Roman" w:cs="Times New Roman"/>
          <w:b/>
          <w:bCs/>
          <w:color w:val="333333"/>
          <w:sz w:val="24"/>
          <w:szCs w:val="24"/>
        </w:rPr>
        <w:t>Cernavodă</w:t>
      </w:r>
      <w:proofErr w:type="spellEnd"/>
      <w:r w:rsidR="00CE36DD" w:rsidRPr="00635B89">
        <w:rPr>
          <w:rFonts w:ascii="Times New Roman" w:eastAsia="Times New Roman" w:hAnsi="Times New Roman" w:cs="Times New Roman"/>
          <w:b/>
          <w:bCs/>
          <w:color w:val="333333"/>
          <w:sz w:val="24"/>
          <w:szCs w:val="24"/>
        </w:rPr>
        <w:br/>
      </w:r>
    </w:p>
    <w:tbl>
      <w:tblPr>
        <w:tblW w:w="9593" w:type="dxa"/>
        <w:jc w:val="center"/>
        <w:tblCellMar>
          <w:top w:w="15" w:type="dxa"/>
          <w:left w:w="15" w:type="dxa"/>
          <w:bottom w:w="15" w:type="dxa"/>
          <w:right w:w="15" w:type="dxa"/>
        </w:tblCellMar>
        <w:tblLook w:val="04A0" w:firstRow="1" w:lastRow="0" w:firstColumn="1" w:lastColumn="0" w:noHBand="0" w:noVBand="1"/>
      </w:tblPr>
      <w:tblGrid>
        <w:gridCol w:w="95"/>
        <w:gridCol w:w="769"/>
        <w:gridCol w:w="4123"/>
        <w:gridCol w:w="1606"/>
        <w:gridCol w:w="846"/>
        <w:gridCol w:w="2154"/>
      </w:tblGrid>
      <w:tr w:rsidR="003B63F3" w:rsidRPr="00635B89" w:rsidTr="00037040">
        <w:trPr>
          <w:trHeight w:val="15"/>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b/>
                <w:bCs/>
                <w:color w:val="333333"/>
                <w:sz w:val="24"/>
                <w:szCs w:val="24"/>
              </w:rPr>
            </w:pPr>
          </w:p>
        </w:tc>
        <w:tc>
          <w:tcPr>
            <w:tcW w:w="769" w:type="dxa"/>
            <w:hideMark/>
          </w:tcPr>
          <w:p w:rsidR="003B63F3" w:rsidRPr="00635B89" w:rsidRDefault="003B63F3" w:rsidP="00635B89">
            <w:pPr>
              <w:spacing w:after="0" w:line="240" w:lineRule="auto"/>
              <w:ind w:right="425"/>
              <w:rPr>
                <w:rFonts w:ascii="Times New Roman" w:eastAsia="Times New Roman" w:hAnsi="Times New Roman" w:cs="Times New Roman"/>
                <w:sz w:val="24"/>
                <w:szCs w:val="24"/>
              </w:rPr>
            </w:pPr>
          </w:p>
        </w:tc>
        <w:tc>
          <w:tcPr>
            <w:tcW w:w="4123" w:type="dxa"/>
            <w:hideMark/>
          </w:tcPr>
          <w:p w:rsidR="003B63F3" w:rsidRPr="00635B89" w:rsidRDefault="003B63F3" w:rsidP="00635B89">
            <w:pPr>
              <w:spacing w:after="0" w:line="240" w:lineRule="auto"/>
              <w:ind w:right="425"/>
              <w:rPr>
                <w:rFonts w:ascii="Times New Roman" w:eastAsia="Times New Roman" w:hAnsi="Times New Roman" w:cs="Times New Roman"/>
                <w:sz w:val="24"/>
                <w:szCs w:val="24"/>
              </w:rPr>
            </w:pPr>
          </w:p>
        </w:tc>
        <w:tc>
          <w:tcPr>
            <w:tcW w:w="0" w:type="auto"/>
            <w:hideMark/>
          </w:tcPr>
          <w:p w:rsidR="003B63F3" w:rsidRPr="00635B89" w:rsidRDefault="003B63F3" w:rsidP="00635B89">
            <w:pPr>
              <w:spacing w:after="0" w:line="240" w:lineRule="auto"/>
              <w:ind w:right="425"/>
              <w:rPr>
                <w:rFonts w:ascii="Times New Roman" w:eastAsia="Times New Roman" w:hAnsi="Times New Roman" w:cs="Times New Roman"/>
                <w:sz w:val="24"/>
                <w:szCs w:val="24"/>
              </w:rPr>
            </w:pPr>
          </w:p>
        </w:tc>
        <w:tc>
          <w:tcPr>
            <w:tcW w:w="0" w:type="auto"/>
            <w:hideMark/>
          </w:tcPr>
          <w:p w:rsidR="003B63F3" w:rsidRPr="00635B89" w:rsidRDefault="003B63F3" w:rsidP="00635B89">
            <w:pPr>
              <w:spacing w:after="0" w:line="240" w:lineRule="auto"/>
              <w:ind w:right="425"/>
              <w:rPr>
                <w:rFonts w:ascii="Times New Roman" w:eastAsia="Times New Roman" w:hAnsi="Times New Roman" w:cs="Times New Roman"/>
                <w:sz w:val="24"/>
                <w:szCs w:val="24"/>
              </w:rPr>
            </w:pPr>
          </w:p>
        </w:tc>
        <w:tc>
          <w:tcPr>
            <w:tcW w:w="2154" w:type="dxa"/>
            <w:hideMark/>
          </w:tcPr>
          <w:p w:rsidR="003B63F3" w:rsidRPr="00635B89" w:rsidRDefault="003B63F3" w:rsidP="00635B89">
            <w:pPr>
              <w:spacing w:after="0" w:line="240" w:lineRule="auto"/>
              <w:ind w:right="425"/>
              <w:rPr>
                <w:rFonts w:ascii="Times New Roman" w:eastAsia="Times New Roman" w:hAnsi="Times New Roman" w:cs="Times New Roman"/>
                <w:sz w:val="24"/>
                <w:szCs w:val="24"/>
              </w:rPr>
            </w:pPr>
          </w:p>
        </w:tc>
      </w:tr>
      <w:tr w:rsidR="003B63F3" w:rsidRPr="00635B89" w:rsidTr="00037040">
        <w:trPr>
          <w:trHeight w:val="765"/>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sz w:val="24"/>
                <w:szCs w:val="24"/>
              </w:rPr>
            </w:pPr>
          </w:p>
        </w:tc>
        <w:tc>
          <w:tcPr>
            <w:tcW w:w="769"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Nr. crt.</w:t>
            </w:r>
          </w:p>
        </w:tc>
        <w:tc>
          <w:tcPr>
            <w:tcW w:w="4123"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Categorie vehicul rutier</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Tarif - lei</w:t>
            </w:r>
            <w:r w:rsidRPr="00635B89">
              <w:rPr>
                <w:rFonts w:ascii="Times New Roman" w:eastAsia="Times New Roman" w:hAnsi="Times New Roman" w:cs="Times New Roman"/>
                <w:color w:val="333333"/>
                <w:sz w:val="24"/>
                <w:szCs w:val="24"/>
              </w:rPr>
              <w:br/>
              <w:t>(cu TVA inclus)</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Nr. treceri</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Valabilitate*)</w:t>
            </w:r>
          </w:p>
        </w:tc>
      </w:tr>
      <w:tr w:rsidR="003B63F3" w:rsidRPr="00635B89" w:rsidTr="00037040">
        <w:trPr>
          <w:trHeight w:val="696"/>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w:t>
            </w:r>
          </w:p>
        </w:tc>
        <w:tc>
          <w:tcPr>
            <w:tcW w:w="4123"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 xml:space="preserve">a) Vehicule rutiere de transport persoane cu cel mult 8+1 locuri pe scaune (inclusiv conducătorul auto) - autoturisme </w:t>
            </w:r>
            <w:r w:rsidRPr="00635B89">
              <w:rPr>
                <w:rFonts w:ascii="Times New Roman" w:eastAsia="Times New Roman" w:hAnsi="Times New Roman" w:cs="Times New Roman"/>
                <w:color w:val="333333"/>
                <w:sz w:val="24"/>
                <w:szCs w:val="24"/>
              </w:rPr>
              <w:br/>
              <w:t>b) Vehicule rutiere cu masa totală maximă autorizată mai mică sau egală cu 3,5 tone, exclusiv vehiculele rutiere de transport persoane</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w:t>
            </w:r>
            <w:r w:rsidR="00C237DA" w:rsidRPr="00635B89">
              <w:rPr>
                <w:rFonts w:ascii="Times New Roman" w:eastAsia="Times New Roman" w:hAnsi="Times New Roman" w:cs="Times New Roman"/>
                <w:color w:val="333333"/>
                <w:sz w:val="24"/>
                <w:szCs w:val="24"/>
              </w:rPr>
              <w:t>9</w:t>
            </w:r>
            <w:r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657"/>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38</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635B89">
        <w:trPr>
          <w:trHeight w:val="663"/>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304</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20</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976"/>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w:t>
            </w:r>
          </w:p>
        </w:tc>
        <w:tc>
          <w:tcPr>
            <w:tcW w:w="4123"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 xml:space="preserve">a) Vehicule rutiere de transport persoane cu mai mult de 9 locuri pe scaune (inclusiv conducătorul auto) </w:t>
            </w:r>
            <w:proofErr w:type="spellStart"/>
            <w:r w:rsidRPr="00635B89">
              <w:rPr>
                <w:rFonts w:ascii="Times New Roman" w:eastAsia="Times New Roman" w:hAnsi="Times New Roman" w:cs="Times New Roman"/>
                <w:color w:val="333333"/>
                <w:sz w:val="24"/>
                <w:szCs w:val="24"/>
              </w:rPr>
              <w:t>şi</w:t>
            </w:r>
            <w:proofErr w:type="spellEnd"/>
            <w:r w:rsidRPr="00635B89">
              <w:rPr>
                <w:rFonts w:ascii="Times New Roman" w:eastAsia="Times New Roman" w:hAnsi="Times New Roman" w:cs="Times New Roman"/>
                <w:color w:val="333333"/>
                <w:sz w:val="24"/>
                <w:szCs w:val="24"/>
              </w:rPr>
              <w:t xml:space="preserve"> maximum 23 de locuri pe scaune (inclusiv conducătorul auto) </w:t>
            </w:r>
            <w:r w:rsidRPr="00635B89">
              <w:rPr>
                <w:rFonts w:ascii="Times New Roman" w:eastAsia="Times New Roman" w:hAnsi="Times New Roman" w:cs="Times New Roman"/>
                <w:color w:val="333333"/>
                <w:sz w:val="24"/>
                <w:szCs w:val="24"/>
              </w:rPr>
              <w:br/>
              <w:t xml:space="preserve">b) Vehicule rutiere cu masa totală maximă autorizată mai mare de 3,5 tone </w:t>
            </w:r>
            <w:proofErr w:type="spellStart"/>
            <w:r w:rsidRPr="00635B89">
              <w:rPr>
                <w:rFonts w:ascii="Times New Roman" w:eastAsia="Times New Roman" w:hAnsi="Times New Roman" w:cs="Times New Roman"/>
                <w:color w:val="333333"/>
                <w:sz w:val="24"/>
                <w:szCs w:val="24"/>
              </w:rPr>
              <w:t>şi</w:t>
            </w:r>
            <w:proofErr w:type="spellEnd"/>
            <w:r w:rsidRPr="00635B89">
              <w:rPr>
                <w:rFonts w:ascii="Times New Roman" w:eastAsia="Times New Roman" w:hAnsi="Times New Roman" w:cs="Times New Roman"/>
                <w:color w:val="333333"/>
                <w:sz w:val="24"/>
                <w:szCs w:val="24"/>
              </w:rPr>
              <w:t xml:space="preserve"> mai mică de 12,0 tone, exclusiv vehiculele rutiere de transport persoane</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69</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1090"/>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137</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465"/>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1.195</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20</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1008"/>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3</w:t>
            </w:r>
          </w:p>
        </w:tc>
        <w:tc>
          <w:tcPr>
            <w:tcW w:w="4123"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 xml:space="preserve">a) Vehicule rutiere de transport persoane cu mai mult de 23 de locuri pe scaune (inclusiv conducătorul auto) </w:t>
            </w:r>
            <w:r w:rsidRPr="00635B89">
              <w:rPr>
                <w:rFonts w:ascii="Times New Roman" w:eastAsia="Times New Roman" w:hAnsi="Times New Roman" w:cs="Times New Roman"/>
                <w:color w:val="333333"/>
                <w:sz w:val="24"/>
                <w:szCs w:val="24"/>
              </w:rPr>
              <w:br/>
              <w:t xml:space="preserve">b) Vehicule rutiere cu masa totală maximă autorizată mai mare sau egală cu 12,0 tone </w:t>
            </w:r>
            <w:proofErr w:type="spellStart"/>
            <w:r w:rsidRPr="00635B89">
              <w:rPr>
                <w:rFonts w:ascii="Times New Roman" w:eastAsia="Times New Roman" w:hAnsi="Times New Roman" w:cs="Times New Roman"/>
                <w:color w:val="333333"/>
                <w:sz w:val="24"/>
                <w:szCs w:val="24"/>
              </w:rPr>
              <w:t>şi</w:t>
            </w:r>
            <w:proofErr w:type="spellEnd"/>
            <w:r w:rsidRPr="00635B89">
              <w:rPr>
                <w:rFonts w:ascii="Times New Roman" w:eastAsia="Times New Roman" w:hAnsi="Times New Roman" w:cs="Times New Roman"/>
                <w:color w:val="333333"/>
                <w:sz w:val="24"/>
                <w:szCs w:val="24"/>
              </w:rPr>
              <w:t xml:space="preserve"> cu maximum 3 axe (inclusiv), exclusiv vehiculele rutiere de transport persoane</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9</w:t>
            </w:r>
            <w:r w:rsidR="00CE36DD" w:rsidRPr="00635B89">
              <w:rPr>
                <w:rFonts w:ascii="Times New Roman" w:eastAsia="Times New Roman" w:hAnsi="Times New Roman" w:cs="Times New Roman"/>
                <w:color w:val="333333"/>
                <w:sz w:val="24"/>
                <w:szCs w:val="24"/>
              </w:rPr>
              <w:t>4,00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940"/>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187</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465"/>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w:t>
            </w:r>
            <w:r w:rsidR="00C237DA" w:rsidRPr="00635B89">
              <w:rPr>
                <w:rFonts w:ascii="Times New Roman" w:eastAsia="Times New Roman" w:hAnsi="Times New Roman" w:cs="Times New Roman"/>
                <w:color w:val="333333"/>
                <w:sz w:val="24"/>
                <w:szCs w:val="24"/>
              </w:rPr>
              <w:t>628</w:t>
            </w:r>
            <w:r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20</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583"/>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4</w:t>
            </w:r>
          </w:p>
        </w:tc>
        <w:tc>
          <w:tcPr>
            <w:tcW w:w="4123" w:type="dxa"/>
            <w:vMerge w:val="restart"/>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 xml:space="preserve">Vehicule rutiere cu masa totală maximă autorizată mai mare sau egală cu 12,0 tone </w:t>
            </w:r>
            <w:proofErr w:type="spellStart"/>
            <w:r w:rsidRPr="00635B89">
              <w:rPr>
                <w:rFonts w:ascii="Times New Roman" w:eastAsia="Times New Roman" w:hAnsi="Times New Roman" w:cs="Times New Roman"/>
                <w:color w:val="333333"/>
                <w:sz w:val="24"/>
                <w:szCs w:val="24"/>
              </w:rPr>
              <w:t>şi</w:t>
            </w:r>
            <w:proofErr w:type="spellEnd"/>
            <w:r w:rsidRPr="00635B89">
              <w:rPr>
                <w:rFonts w:ascii="Times New Roman" w:eastAsia="Times New Roman" w:hAnsi="Times New Roman" w:cs="Times New Roman"/>
                <w:color w:val="333333"/>
                <w:sz w:val="24"/>
                <w:szCs w:val="24"/>
              </w:rPr>
              <w:t xml:space="preserve"> cu minimum 4 axe (inclusiv), exclusiv vehiculele rutiere de transport persoane</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133</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345"/>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jc w:val="center"/>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266</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r w:rsidR="003B63F3" w:rsidRPr="00635B89" w:rsidTr="00037040">
        <w:trPr>
          <w:trHeight w:val="491"/>
          <w:jc w:val="center"/>
        </w:trPr>
        <w:tc>
          <w:tcPr>
            <w:tcW w:w="95" w:type="dxa"/>
            <w:tcMar>
              <w:top w:w="0" w:type="dxa"/>
              <w:left w:w="0" w:type="dxa"/>
              <w:bottom w:w="0" w:type="dxa"/>
              <w:right w:w="0" w:type="dxa"/>
            </w:tcMa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769"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4123" w:type="dxa"/>
            <w:vMerge/>
            <w:tcBorders>
              <w:top w:val="single" w:sz="6" w:space="0" w:color="333333"/>
              <w:left w:val="single" w:sz="6" w:space="0" w:color="333333"/>
              <w:bottom w:val="single" w:sz="6" w:space="0" w:color="333333"/>
              <w:right w:val="single" w:sz="6" w:space="0" w:color="333333"/>
            </w:tcBorders>
            <w:vAlign w:val="center"/>
            <w:hideMark/>
          </w:tcPr>
          <w:p w:rsidR="003B63F3" w:rsidRPr="00635B89" w:rsidRDefault="003B63F3" w:rsidP="00635B89">
            <w:pPr>
              <w:spacing w:after="0" w:line="240" w:lineRule="auto"/>
              <w:ind w:right="425"/>
              <w:rPr>
                <w:rFonts w:ascii="Times New Roman" w:eastAsia="Times New Roman" w:hAnsi="Times New Roman" w:cs="Times New Roman"/>
                <w:color w:val="333333"/>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237DA" w:rsidP="00635B89">
            <w:pPr>
              <w:spacing w:after="0" w:line="240" w:lineRule="auto"/>
              <w:ind w:right="425"/>
              <w:jc w:val="right"/>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2.315</w:t>
            </w:r>
            <w:r w:rsidR="00CE36DD" w:rsidRPr="00635B89">
              <w:rPr>
                <w:rFonts w:ascii="Times New Roman" w:eastAsia="Times New Roman" w:hAnsi="Times New Roman" w:cs="Times New Roman"/>
                <w:color w:val="333333"/>
                <w:sz w:val="24"/>
                <w:szCs w:val="24"/>
              </w:rPr>
              <w:t>,00</w:t>
            </w:r>
          </w:p>
        </w:tc>
        <w:tc>
          <w:tcPr>
            <w:tcW w:w="0" w:type="auto"/>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5"/>
              <w:jc w:val="center"/>
              <w:rPr>
                <w:rFonts w:ascii="Times New Roman" w:eastAsia="Times New Roman" w:hAnsi="Times New Roman" w:cs="Times New Roman"/>
                <w:color w:val="333333"/>
                <w:sz w:val="24"/>
                <w:szCs w:val="24"/>
              </w:rPr>
            </w:pPr>
            <w:bookmarkStart w:id="0" w:name="_GoBack"/>
            <w:bookmarkEnd w:id="0"/>
            <w:r w:rsidRPr="00635B89">
              <w:rPr>
                <w:rFonts w:ascii="Times New Roman" w:eastAsia="Times New Roman" w:hAnsi="Times New Roman" w:cs="Times New Roman"/>
                <w:color w:val="333333"/>
                <w:sz w:val="24"/>
                <w:szCs w:val="24"/>
              </w:rPr>
              <w:t>20</w:t>
            </w:r>
          </w:p>
        </w:tc>
        <w:tc>
          <w:tcPr>
            <w:tcW w:w="2154" w:type="dxa"/>
            <w:tcBorders>
              <w:top w:val="single" w:sz="6" w:space="0" w:color="333333"/>
              <w:left w:val="single" w:sz="6" w:space="0" w:color="333333"/>
              <w:bottom w:val="single" w:sz="6" w:space="0" w:color="333333"/>
              <w:right w:val="single" w:sz="6" w:space="0" w:color="333333"/>
            </w:tcBorders>
            <w:hideMark/>
          </w:tcPr>
          <w:p w:rsidR="003B63F3" w:rsidRPr="00635B89" w:rsidRDefault="00CE36DD" w:rsidP="00635B89">
            <w:pPr>
              <w:spacing w:after="0" w:line="240" w:lineRule="auto"/>
              <w:ind w:right="425"/>
              <w:rPr>
                <w:rFonts w:ascii="Times New Roman" w:eastAsia="Times New Roman" w:hAnsi="Times New Roman" w:cs="Times New Roman"/>
                <w:color w:val="333333"/>
                <w:sz w:val="24"/>
                <w:szCs w:val="24"/>
              </w:rPr>
            </w:pPr>
            <w:r w:rsidRPr="00635B89">
              <w:rPr>
                <w:rFonts w:ascii="Times New Roman" w:eastAsia="Times New Roman" w:hAnsi="Times New Roman" w:cs="Times New Roman"/>
                <w:color w:val="333333"/>
                <w:sz w:val="24"/>
                <w:szCs w:val="24"/>
              </w:rPr>
              <w:t>12 luni de la data achitării</w:t>
            </w:r>
          </w:p>
        </w:tc>
      </w:tr>
    </w:tbl>
    <w:p w:rsidR="003B63F3" w:rsidRPr="00635B89" w:rsidRDefault="00CE36DD" w:rsidP="00635B89">
      <w:pPr>
        <w:pStyle w:val="al"/>
        <w:ind w:left="426" w:right="425"/>
        <w:rPr>
          <w:color w:val="333333"/>
        </w:rPr>
      </w:pPr>
      <w:r w:rsidRPr="00635B89">
        <w:rPr>
          <w:color w:val="333333"/>
        </w:rPr>
        <w:t>*) Perioada maximă în care se pot efectua trecerile achitate</w:t>
      </w:r>
      <w:r w:rsidR="006E6F8B" w:rsidRPr="00635B89">
        <w:rPr>
          <w:color w:val="333333"/>
        </w:rPr>
        <w:t xml:space="preserve"> electronic</w:t>
      </w:r>
      <w:r w:rsidRPr="00635B89">
        <w:rPr>
          <w:color w:val="333333"/>
        </w:rPr>
        <w:t>.</w:t>
      </w:r>
    </w:p>
    <w:p w:rsidR="0088059A" w:rsidRPr="00635B89" w:rsidRDefault="0088059A" w:rsidP="00635B89">
      <w:pPr>
        <w:pStyle w:val="al"/>
        <w:ind w:left="426" w:right="425"/>
        <w:rPr>
          <w:color w:val="333333"/>
        </w:rPr>
      </w:pPr>
    </w:p>
    <w:p w:rsidR="003B63F3" w:rsidRPr="00635B89" w:rsidRDefault="00CE36DD" w:rsidP="00635B89">
      <w:pPr>
        <w:pStyle w:val="al"/>
        <w:ind w:left="426" w:right="425"/>
        <w:rPr>
          <w:color w:val="333333"/>
        </w:rPr>
      </w:pPr>
      <w:r w:rsidRPr="00635B89">
        <w:rPr>
          <w:color w:val="333333"/>
        </w:rPr>
        <w:t xml:space="preserve">NOTĂ: </w:t>
      </w:r>
    </w:p>
    <w:p w:rsidR="003B63F3" w:rsidRPr="00635B89" w:rsidRDefault="00CE36DD" w:rsidP="00635B89">
      <w:pPr>
        <w:pStyle w:val="al"/>
        <w:ind w:left="426" w:right="425"/>
        <w:rPr>
          <w:color w:val="333333"/>
        </w:rPr>
      </w:pPr>
      <w:r w:rsidRPr="00635B89">
        <w:rPr>
          <w:color w:val="333333"/>
        </w:rPr>
        <w:t xml:space="preserve">A. Tariful de trecere se poate achita în numerar sau cu card în </w:t>
      </w:r>
      <w:proofErr w:type="spellStart"/>
      <w:r w:rsidRPr="00635B89">
        <w:rPr>
          <w:color w:val="333333"/>
        </w:rPr>
        <w:t>Agenţia</w:t>
      </w:r>
      <w:proofErr w:type="spellEnd"/>
      <w:r w:rsidRPr="00635B89">
        <w:rPr>
          <w:color w:val="333333"/>
        </w:rPr>
        <w:t xml:space="preserve"> de Încasare </w:t>
      </w:r>
      <w:proofErr w:type="spellStart"/>
      <w:r w:rsidRPr="00635B89">
        <w:rPr>
          <w:color w:val="333333"/>
        </w:rPr>
        <w:t>Feteşti</w:t>
      </w:r>
      <w:proofErr w:type="spellEnd"/>
      <w:r w:rsidRPr="00635B89">
        <w:rPr>
          <w:color w:val="333333"/>
        </w:rPr>
        <w:t xml:space="preserve"> numai pe benzile marginale unde există operator </w:t>
      </w:r>
      <w:proofErr w:type="spellStart"/>
      <w:r w:rsidRPr="00635B89">
        <w:rPr>
          <w:color w:val="333333"/>
        </w:rPr>
        <w:t>şi</w:t>
      </w:r>
      <w:proofErr w:type="spellEnd"/>
      <w:r w:rsidRPr="00635B89">
        <w:rPr>
          <w:color w:val="333333"/>
        </w:rPr>
        <w:t xml:space="preserve"> barieră, </w:t>
      </w:r>
      <w:proofErr w:type="spellStart"/>
      <w:r w:rsidRPr="00635B89">
        <w:rPr>
          <w:color w:val="333333"/>
        </w:rPr>
        <w:t>inscripţionate</w:t>
      </w:r>
      <w:proofErr w:type="spellEnd"/>
      <w:r w:rsidRPr="00635B89">
        <w:rPr>
          <w:color w:val="333333"/>
        </w:rPr>
        <w:t xml:space="preserve"> cu semnul "cash", </w:t>
      </w:r>
      <w:proofErr w:type="spellStart"/>
      <w:r w:rsidRPr="00635B89">
        <w:rPr>
          <w:color w:val="333333"/>
        </w:rPr>
        <w:t>şi</w:t>
      </w:r>
      <w:proofErr w:type="spellEnd"/>
      <w:r w:rsidRPr="00635B89">
        <w:rPr>
          <w:color w:val="333333"/>
        </w:rPr>
        <w:t xml:space="preserve"> numai pentru o trecere, având valabilitatea acelei treceri.</w:t>
      </w:r>
    </w:p>
    <w:p w:rsidR="003B63F3" w:rsidRPr="00635B89" w:rsidRDefault="00CE36DD" w:rsidP="00635B89">
      <w:pPr>
        <w:pStyle w:val="al"/>
        <w:ind w:left="426" w:right="425"/>
        <w:rPr>
          <w:color w:val="333333"/>
        </w:rPr>
      </w:pPr>
      <w:r w:rsidRPr="00635B89">
        <w:rPr>
          <w:color w:val="333333"/>
        </w:rPr>
        <w:t xml:space="preserve">B. Sunt exceptate de la plata tarifului de trecere autoturismele </w:t>
      </w:r>
      <w:proofErr w:type="spellStart"/>
      <w:r w:rsidRPr="00635B89">
        <w:rPr>
          <w:color w:val="333333"/>
        </w:rPr>
        <w:t>deţinute</w:t>
      </w:r>
      <w:proofErr w:type="spellEnd"/>
      <w:r w:rsidRPr="00635B89">
        <w:rPr>
          <w:color w:val="333333"/>
        </w:rPr>
        <w:t xml:space="preserve"> sau, după caz, folosite în baza unui drept legal de către persoanele cu handicap accentuat sau grav sau </w:t>
      </w:r>
      <w:proofErr w:type="spellStart"/>
      <w:r w:rsidRPr="00635B89">
        <w:rPr>
          <w:color w:val="333333"/>
        </w:rPr>
        <w:t>deţinute</w:t>
      </w:r>
      <w:proofErr w:type="spellEnd"/>
      <w:r w:rsidRPr="00635B89">
        <w:rPr>
          <w:color w:val="333333"/>
        </w:rPr>
        <w:t xml:space="preserve"> de persoane </w:t>
      </w:r>
      <w:proofErr w:type="spellStart"/>
      <w:r w:rsidRPr="00635B89">
        <w:rPr>
          <w:color w:val="333333"/>
        </w:rPr>
        <w:t>îndreptăţite</w:t>
      </w:r>
      <w:proofErr w:type="spellEnd"/>
      <w:r w:rsidRPr="00635B89">
        <w:rPr>
          <w:color w:val="333333"/>
        </w:rPr>
        <w:t xml:space="preserve"> să beneficieze de gratuitate în numele persoanei cu handicap accentuat sau grav care utilizează benzile marginale ale </w:t>
      </w:r>
      <w:proofErr w:type="spellStart"/>
      <w:r w:rsidRPr="00635B89">
        <w:rPr>
          <w:color w:val="333333"/>
        </w:rPr>
        <w:t>Agenţiei</w:t>
      </w:r>
      <w:proofErr w:type="spellEnd"/>
      <w:r w:rsidRPr="00635B89">
        <w:rPr>
          <w:color w:val="333333"/>
        </w:rPr>
        <w:t xml:space="preserve"> de Încasare </w:t>
      </w:r>
      <w:proofErr w:type="spellStart"/>
      <w:r w:rsidRPr="00635B89">
        <w:rPr>
          <w:color w:val="333333"/>
        </w:rPr>
        <w:t>Feteşti</w:t>
      </w:r>
      <w:proofErr w:type="spellEnd"/>
      <w:r w:rsidRPr="00635B89">
        <w:rPr>
          <w:color w:val="333333"/>
        </w:rPr>
        <w:t xml:space="preserve"> unde există operator </w:t>
      </w:r>
      <w:proofErr w:type="spellStart"/>
      <w:r w:rsidRPr="00635B89">
        <w:rPr>
          <w:color w:val="333333"/>
        </w:rPr>
        <w:t>şi</w:t>
      </w:r>
      <w:proofErr w:type="spellEnd"/>
      <w:r w:rsidRPr="00635B89">
        <w:rPr>
          <w:color w:val="333333"/>
        </w:rPr>
        <w:t xml:space="preserve"> barieră**), </w:t>
      </w:r>
      <w:proofErr w:type="spellStart"/>
      <w:r w:rsidRPr="00635B89">
        <w:rPr>
          <w:color w:val="333333"/>
        </w:rPr>
        <w:t>inscripţionate</w:t>
      </w:r>
      <w:proofErr w:type="spellEnd"/>
      <w:r w:rsidRPr="00635B89">
        <w:rPr>
          <w:color w:val="333333"/>
        </w:rPr>
        <w:t xml:space="preserve"> cu semnul "cash", cu respectarea următoarelor </w:t>
      </w:r>
      <w:proofErr w:type="spellStart"/>
      <w:r w:rsidRPr="00635B89">
        <w:rPr>
          <w:color w:val="333333"/>
        </w:rPr>
        <w:t>condiţii</w:t>
      </w:r>
      <w:proofErr w:type="spellEnd"/>
      <w:r w:rsidRPr="00635B89">
        <w:rPr>
          <w:color w:val="333333"/>
        </w:rPr>
        <w:t>:</w:t>
      </w:r>
    </w:p>
    <w:p w:rsidR="003B63F3" w:rsidRPr="00635B89" w:rsidRDefault="00CE36DD" w:rsidP="00635B89">
      <w:pPr>
        <w:pStyle w:val="al"/>
        <w:ind w:left="426" w:right="425"/>
        <w:rPr>
          <w:color w:val="333333"/>
        </w:rPr>
      </w:pPr>
      <w:r w:rsidRPr="00635B89">
        <w:rPr>
          <w:color w:val="333333"/>
        </w:rPr>
        <w:lastRenderedPageBreak/>
        <w:t xml:space="preserve">**) Întrucât pe celelalte benzi din </w:t>
      </w:r>
      <w:proofErr w:type="spellStart"/>
      <w:r w:rsidRPr="00635B89">
        <w:rPr>
          <w:color w:val="333333"/>
        </w:rPr>
        <w:t>Agenţia</w:t>
      </w:r>
      <w:proofErr w:type="spellEnd"/>
      <w:r w:rsidRPr="00635B89">
        <w:rPr>
          <w:color w:val="333333"/>
        </w:rPr>
        <w:t xml:space="preserve"> de Încasare </w:t>
      </w:r>
      <w:proofErr w:type="spellStart"/>
      <w:r w:rsidRPr="00635B89">
        <w:rPr>
          <w:color w:val="333333"/>
        </w:rPr>
        <w:t>Feteşti</w:t>
      </w:r>
      <w:proofErr w:type="spellEnd"/>
      <w:r w:rsidRPr="00635B89">
        <w:rPr>
          <w:color w:val="333333"/>
        </w:rPr>
        <w:t xml:space="preserve">, </w:t>
      </w:r>
      <w:proofErr w:type="spellStart"/>
      <w:r w:rsidRPr="00635B89">
        <w:rPr>
          <w:color w:val="333333"/>
        </w:rPr>
        <w:t>inscripţionate</w:t>
      </w:r>
      <w:proofErr w:type="spellEnd"/>
      <w:r w:rsidRPr="00635B89">
        <w:rPr>
          <w:color w:val="333333"/>
        </w:rPr>
        <w:t xml:space="preserve"> "</w:t>
      </w:r>
      <w:proofErr w:type="spellStart"/>
      <w:r w:rsidRPr="00635B89">
        <w:rPr>
          <w:color w:val="333333"/>
        </w:rPr>
        <w:t>eTarif</w:t>
      </w:r>
      <w:proofErr w:type="spellEnd"/>
      <w:r w:rsidRPr="00635B89">
        <w:rPr>
          <w:color w:val="333333"/>
        </w:rPr>
        <w:t xml:space="preserve">", se realizează în mod automat verificarea tarifului de trecere achitat prin intermediul sistemului informatic de emitere, gestiune, monitorizare </w:t>
      </w:r>
      <w:proofErr w:type="spellStart"/>
      <w:r w:rsidRPr="00635B89">
        <w:rPr>
          <w:color w:val="333333"/>
        </w:rPr>
        <w:t>şi</w:t>
      </w:r>
      <w:proofErr w:type="spellEnd"/>
      <w:r w:rsidRPr="00635B89">
        <w:rPr>
          <w:color w:val="333333"/>
        </w:rPr>
        <w:t xml:space="preserve"> control al rovinietei - SIEGMCR, pentru care se emite peaj. </w:t>
      </w:r>
    </w:p>
    <w:p w:rsidR="003B63F3" w:rsidRPr="00635B89" w:rsidRDefault="00CE36DD" w:rsidP="00635B89">
      <w:pPr>
        <w:pStyle w:val="al"/>
        <w:ind w:left="426" w:right="425"/>
        <w:rPr>
          <w:color w:val="333333"/>
        </w:rPr>
      </w:pPr>
      <w:r w:rsidRPr="00635B89">
        <w:rPr>
          <w:color w:val="333333"/>
        </w:rPr>
        <w:t xml:space="preserve">1. </w:t>
      </w:r>
      <w:proofErr w:type="spellStart"/>
      <w:r w:rsidRPr="00635B89">
        <w:rPr>
          <w:color w:val="333333"/>
        </w:rPr>
        <w:t>excepţiile</w:t>
      </w:r>
      <w:proofErr w:type="spellEnd"/>
      <w:r w:rsidRPr="00635B89">
        <w:rPr>
          <w:color w:val="333333"/>
        </w:rPr>
        <w:t xml:space="preserve"> de la plata tarifului de trecere se realizează în baza unor permise de liberă trecere eliberate pe o durată de 12 (douăsprezece) luni, de Compania </w:t>
      </w:r>
      <w:proofErr w:type="spellStart"/>
      <w:r w:rsidRPr="00635B89">
        <w:rPr>
          <w:color w:val="333333"/>
        </w:rPr>
        <w:t>Naţională</w:t>
      </w:r>
      <w:proofErr w:type="spellEnd"/>
      <w:r w:rsidRPr="00635B89">
        <w:rPr>
          <w:color w:val="333333"/>
        </w:rPr>
        <w:t xml:space="preserve"> de Administrare a Infrastructurii Rutiere - S.A. prin </w:t>
      </w:r>
      <w:proofErr w:type="spellStart"/>
      <w:r w:rsidRPr="00635B89">
        <w:rPr>
          <w:color w:val="333333"/>
        </w:rPr>
        <w:t>Direcţia</w:t>
      </w:r>
      <w:proofErr w:type="spellEnd"/>
      <w:r w:rsidRPr="00635B89">
        <w:rPr>
          <w:color w:val="333333"/>
        </w:rPr>
        <w:t xml:space="preserve"> Regională de Drumuri </w:t>
      </w:r>
      <w:proofErr w:type="spellStart"/>
      <w:r w:rsidRPr="00635B89">
        <w:rPr>
          <w:color w:val="333333"/>
        </w:rPr>
        <w:t>şi</w:t>
      </w:r>
      <w:proofErr w:type="spellEnd"/>
      <w:r w:rsidRPr="00635B89">
        <w:rPr>
          <w:color w:val="333333"/>
        </w:rPr>
        <w:t xml:space="preserve"> Poduri </w:t>
      </w:r>
      <w:proofErr w:type="spellStart"/>
      <w:r w:rsidRPr="00635B89">
        <w:rPr>
          <w:color w:val="333333"/>
        </w:rPr>
        <w:t>Constanţa</w:t>
      </w:r>
      <w:proofErr w:type="spellEnd"/>
      <w:r w:rsidRPr="00635B89">
        <w:rPr>
          <w:color w:val="333333"/>
        </w:rPr>
        <w:t>;</w:t>
      </w:r>
    </w:p>
    <w:p w:rsidR="003B63F3" w:rsidRPr="00635B89" w:rsidRDefault="00CE36DD" w:rsidP="00635B89">
      <w:pPr>
        <w:pStyle w:val="al"/>
        <w:ind w:left="426" w:right="425"/>
        <w:rPr>
          <w:color w:val="333333"/>
        </w:rPr>
      </w:pPr>
      <w:r w:rsidRPr="00635B89">
        <w:rPr>
          <w:color w:val="333333"/>
        </w:rPr>
        <w:t xml:space="preserve">2. pentru fiecare persoană cu handicap accentuat sau grav se acordă exceptarea de la plata tarifului de trecere pentru un singur autoturism. Autoturismul poate fi </w:t>
      </w:r>
      <w:proofErr w:type="spellStart"/>
      <w:r w:rsidRPr="00635B89">
        <w:rPr>
          <w:color w:val="333333"/>
        </w:rPr>
        <w:t>deţinut</w:t>
      </w:r>
      <w:proofErr w:type="spellEnd"/>
      <w:r w:rsidRPr="00635B89">
        <w:rPr>
          <w:color w:val="333333"/>
        </w:rPr>
        <w:t xml:space="preserve"> sau, după caz, utilizat în baza unui drept legal conform datelor înscrise în certificatul de înmatriculare de către persoana cu handicap sau de către una dintre persoanele </w:t>
      </w:r>
      <w:proofErr w:type="spellStart"/>
      <w:r w:rsidRPr="00635B89">
        <w:rPr>
          <w:color w:val="333333"/>
        </w:rPr>
        <w:t>îndreptăţite</w:t>
      </w:r>
      <w:proofErr w:type="spellEnd"/>
      <w:r w:rsidRPr="00635B89">
        <w:rPr>
          <w:color w:val="333333"/>
        </w:rPr>
        <w:t xml:space="preserve"> să beneficieze de gratuitate în numele persoanei cu handicap: </w:t>
      </w:r>
      <w:proofErr w:type="spellStart"/>
      <w:r w:rsidRPr="00635B89">
        <w:rPr>
          <w:color w:val="333333"/>
        </w:rPr>
        <w:t>soţ</w:t>
      </w:r>
      <w:proofErr w:type="spellEnd"/>
      <w:r w:rsidRPr="00635B89">
        <w:rPr>
          <w:color w:val="333333"/>
        </w:rPr>
        <w:t>/</w:t>
      </w:r>
      <w:proofErr w:type="spellStart"/>
      <w:r w:rsidRPr="00635B89">
        <w:rPr>
          <w:color w:val="333333"/>
        </w:rPr>
        <w:t>soţie</w:t>
      </w:r>
      <w:proofErr w:type="spellEnd"/>
      <w:r w:rsidRPr="00635B89">
        <w:rPr>
          <w:color w:val="333333"/>
        </w:rPr>
        <w:t xml:space="preserve">, copil/părinte </w:t>
      </w:r>
      <w:proofErr w:type="spellStart"/>
      <w:r w:rsidRPr="00635B89">
        <w:rPr>
          <w:color w:val="333333"/>
        </w:rPr>
        <w:t>fraţi</w:t>
      </w:r>
      <w:proofErr w:type="spellEnd"/>
      <w:r w:rsidRPr="00635B89">
        <w:rPr>
          <w:color w:val="333333"/>
        </w:rPr>
        <w:t>;</w:t>
      </w:r>
    </w:p>
    <w:p w:rsidR="003B63F3" w:rsidRPr="00635B89" w:rsidRDefault="00CE36DD" w:rsidP="00635B89">
      <w:pPr>
        <w:pStyle w:val="al"/>
        <w:ind w:left="426" w:right="425"/>
        <w:rPr>
          <w:color w:val="333333"/>
        </w:rPr>
      </w:pPr>
      <w:r w:rsidRPr="00635B89">
        <w:rPr>
          <w:color w:val="333333"/>
        </w:rPr>
        <w:t xml:space="preserve">3. permisele de liberă trecere pentru persoanele cu handicap accentuat sau grav se acordă în urma depunerii unei cereri din partea persoanei cu handicap accentuat sau grav sau din partea uneia dintre persoanele </w:t>
      </w:r>
      <w:proofErr w:type="spellStart"/>
      <w:r w:rsidRPr="00635B89">
        <w:rPr>
          <w:color w:val="333333"/>
        </w:rPr>
        <w:t>îndreptăţite</w:t>
      </w:r>
      <w:proofErr w:type="spellEnd"/>
      <w:r w:rsidRPr="00635B89">
        <w:rPr>
          <w:color w:val="333333"/>
        </w:rPr>
        <w:t xml:space="preserve"> să beneficieze de gratuitate în numele persoanei cu handicap, la sediul </w:t>
      </w:r>
      <w:proofErr w:type="spellStart"/>
      <w:r w:rsidRPr="00635B89">
        <w:rPr>
          <w:color w:val="333333"/>
        </w:rPr>
        <w:t>Agenţiei</w:t>
      </w:r>
      <w:proofErr w:type="spellEnd"/>
      <w:r w:rsidRPr="00635B89">
        <w:rPr>
          <w:color w:val="333333"/>
        </w:rPr>
        <w:t xml:space="preserve"> de Încasare </w:t>
      </w:r>
      <w:proofErr w:type="spellStart"/>
      <w:r w:rsidRPr="00635B89">
        <w:rPr>
          <w:color w:val="333333"/>
        </w:rPr>
        <w:t>Feteşti</w:t>
      </w:r>
      <w:proofErr w:type="spellEnd"/>
      <w:r w:rsidRPr="00635B89">
        <w:rPr>
          <w:color w:val="333333"/>
        </w:rPr>
        <w:t xml:space="preserve"> sau al </w:t>
      </w:r>
      <w:proofErr w:type="spellStart"/>
      <w:r w:rsidRPr="00635B89">
        <w:rPr>
          <w:color w:val="333333"/>
        </w:rPr>
        <w:t>Direcţiei</w:t>
      </w:r>
      <w:proofErr w:type="spellEnd"/>
      <w:r w:rsidRPr="00635B89">
        <w:rPr>
          <w:color w:val="333333"/>
        </w:rPr>
        <w:t xml:space="preserve"> Regionale de Drumuri </w:t>
      </w:r>
      <w:proofErr w:type="spellStart"/>
      <w:r w:rsidRPr="00635B89">
        <w:rPr>
          <w:color w:val="333333"/>
        </w:rPr>
        <w:t>şi</w:t>
      </w:r>
      <w:proofErr w:type="spellEnd"/>
      <w:r w:rsidRPr="00635B89">
        <w:rPr>
          <w:color w:val="333333"/>
        </w:rPr>
        <w:t xml:space="preserve"> Poduri </w:t>
      </w:r>
      <w:proofErr w:type="spellStart"/>
      <w:r w:rsidRPr="00635B89">
        <w:rPr>
          <w:color w:val="333333"/>
        </w:rPr>
        <w:t>Constanţa</w:t>
      </w:r>
      <w:proofErr w:type="spellEnd"/>
      <w:r w:rsidRPr="00635B89">
        <w:rPr>
          <w:color w:val="333333"/>
        </w:rPr>
        <w:t xml:space="preserve">; alte puncte suplimentare </w:t>
      </w:r>
      <w:proofErr w:type="spellStart"/>
      <w:r w:rsidRPr="00635B89">
        <w:rPr>
          <w:color w:val="333333"/>
        </w:rPr>
        <w:t>faţă</w:t>
      </w:r>
      <w:proofErr w:type="spellEnd"/>
      <w:r w:rsidRPr="00635B89">
        <w:rPr>
          <w:color w:val="333333"/>
        </w:rPr>
        <w:t xml:space="preserve"> de cele </w:t>
      </w:r>
      <w:proofErr w:type="spellStart"/>
      <w:r w:rsidRPr="00635B89">
        <w:rPr>
          <w:color w:val="333333"/>
        </w:rPr>
        <w:t>menţionate</w:t>
      </w:r>
      <w:proofErr w:type="spellEnd"/>
      <w:r w:rsidRPr="00635B89">
        <w:rPr>
          <w:color w:val="333333"/>
        </w:rPr>
        <w:t xml:space="preserve"> vor fi publicate pe site-ul Companiei </w:t>
      </w:r>
      <w:proofErr w:type="spellStart"/>
      <w:r w:rsidRPr="00635B89">
        <w:rPr>
          <w:color w:val="333333"/>
        </w:rPr>
        <w:t>Naţionale</w:t>
      </w:r>
      <w:proofErr w:type="spellEnd"/>
      <w:r w:rsidRPr="00635B89">
        <w:rPr>
          <w:color w:val="333333"/>
        </w:rPr>
        <w:t xml:space="preserve"> de Administrare a Infrastructurii Rutiere - S.A.;</w:t>
      </w:r>
    </w:p>
    <w:p w:rsidR="003B63F3" w:rsidRPr="00635B89" w:rsidRDefault="00CE36DD" w:rsidP="00635B89">
      <w:pPr>
        <w:pStyle w:val="al"/>
        <w:ind w:left="426" w:right="425"/>
        <w:rPr>
          <w:strike/>
          <w:color w:val="333333"/>
        </w:rPr>
      </w:pPr>
      <w:r w:rsidRPr="00635B89">
        <w:rPr>
          <w:color w:val="333333"/>
        </w:rPr>
        <w:t xml:space="preserve">4. cererea pentru eliberarea permiselor de liberă trecere pentru persoanele cu handicap accentuat sau grav se depune până în data de 20 a lunii </w:t>
      </w:r>
      <w:proofErr w:type="spellStart"/>
      <w:r w:rsidRPr="00635B89">
        <w:rPr>
          <w:color w:val="333333"/>
        </w:rPr>
        <w:t>şi</w:t>
      </w:r>
      <w:proofErr w:type="spellEnd"/>
      <w:r w:rsidRPr="00635B89">
        <w:rPr>
          <w:color w:val="333333"/>
        </w:rPr>
        <w:t xml:space="preserve"> va fi </w:t>
      </w:r>
      <w:proofErr w:type="spellStart"/>
      <w:r w:rsidRPr="00635B89">
        <w:rPr>
          <w:color w:val="333333"/>
        </w:rPr>
        <w:t>însoţită</w:t>
      </w:r>
      <w:proofErr w:type="spellEnd"/>
      <w:r w:rsidRPr="00635B89">
        <w:rPr>
          <w:color w:val="333333"/>
        </w:rPr>
        <w:t xml:space="preserve"> de "certificatul de încadrare în grad de handicap" în copie conformă cu originalul, din care să reiasă gradul de handicap accentuat sau grav, copie după certificatul de înmatriculare al vehiculului/cartea de identitate a vehiculului, copie după actul de identitate (certificat de </w:t>
      </w:r>
      <w:proofErr w:type="spellStart"/>
      <w:r w:rsidRPr="00635B89">
        <w:rPr>
          <w:color w:val="333333"/>
        </w:rPr>
        <w:t>naştere</w:t>
      </w:r>
      <w:proofErr w:type="spellEnd"/>
      <w:r w:rsidRPr="00635B89">
        <w:rPr>
          <w:color w:val="333333"/>
        </w:rPr>
        <w:t xml:space="preserve">) al persoanei cu handicap accentuat sau grav </w:t>
      </w:r>
      <w:proofErr w:type="spellStart"/>
      <w:r w:rsidRPr="00635B89">
        <w:rPr>
          <w:color w:val="333333"/>
        </w:rPr>
        <w:t>şi</w:t>
      </w:r>
      <w:proofErr w:type="spellEnd"/>
      <w:r w:rsidRPr="00635B89">
        <w:rPr>
          <w:color w:val="333333"/>
        </w:rPr>
        <w:t xml:space="preserve"> copie după actul de identitate al uneia dintre persoanele </w:t>
      </w:r>
      <w:proofErr w:type="spellStart"/>
      <w:r w:rsidRPr="00635B89">
        <w:rPr>
          <w:color w:val="333333"/>
        </w:rPr>
        <w:t>îndreptăţite</w:t>
      </w:r>
      <w:proofErr w:type="spellEnd"/>
      <w:r w:rsidRPr="00635B89">
        <w:rPr>
          <w:color w:val="333333"/>
        </w:rPr>
        <w:t xml:space="preserve"> să beneficieze de gratuitate în numele persoanei cu handicap</w:t>
      </w:r>
      <w:r w:rsidR="00635B89">
        <w:rPr>
          <w:color w:val="333333"/>
        </w:rPr>
        <w:t>;</w:t>
      </w:r>
    </w:p>
    <w:p w:rsidR="003B63F3" w:rsidRPr="00635B89" w:rsidRDefault="00CE36DD" w:rsidP="00635B89">
      <w:pPr>
        <w:pStyle w:val="al"/>
        <w:ind w:left="426" w:right="425"/>
        <w:rPr>
          <w:color w:val="333333"/>
        </w:rPr>
      </w:pPr>
      <w:r w:rsidRPr="00635B89">
        <w:rPr>
          <w:color w:val="333333"/>
        </w:rPr>
        <w:t xml:space="preserve">5. permisele de liberă trecere pentru persoanele cu handicap accentuat sau grav se vor elibera cel </w:t>
      </w:r>
      <w:proofErr w:type="spellStart"/>
      <w:r w:rsidRPr="00635B89">
        <w:rPr>
          <w:color w:val="333333"/>
        </w:rPr>
        <w:t>puţin</w:t>
      </w:r>
      <w:proofErr w:type="spellEnd"/>
      <w:r w:rsidRPr="00635B89">
        <w:rPr>
          <w:color w:val="333333"/>
        </w:rPr>
        <w:t xml:space="preserve"> în următoarele puncte de lucru ale Companiei </w:t>
      </w:r>
      <w:proofErr w:type="spellStart"/>
      <w:r w:rsidRPr="00635B89">
        <w:rPr>
          <w:color w:val="333333"/>
        </w:rPr>
        <w:t>Naţionale</w:t>
      </w:r>
      <w:proofErr w:type="spellEnd"/>
      <w:r w:rsidRPr="00635B89">
        <w:rPr>
          <w:color w:val="333333"/>
        </w:rPr>
        <w:t xml:space="preserve"> de Administrare a Infrastructurii Rutiere - S.A.: </w:t>
      </w:r>
      <w:proofErr w:type="spellStart"/>
      <w:r w:rsidRPr="00635B89">
        <w:rPr>
          <w:color w:val="333333"/>
        </w:rPr>
        <w:t>Agenţia</w:t>
      </w:r>
      <w:proofErr w:type="spellEnd"/>
      <w:r w:rsidRPr="00635B89">
        <w:rPr>
          <w:color w:val="333333"/>
        </w:rPr>
        <w:t xml:space="preserve"> de Încasare </w:t>
      </w:r>
      <w:proofErr w:type="spellStart"/>
      <w:r w:rsidRPr="00635B89">
        <w:rPr>
          <w:color w:val="333333"/>
        </w:rPr>
        <w:t>Feteşti</w:t>
      </w:r>
      <w:proofErr w:type="spellEnd"/>
      <w:r w:rsidRPr="00635B89">
        <w:rPr>
          <w:color w:val="333333"/>
        </w:rPr>
        <w:t xml:space="preserve"> </w:t>
      </w:r>
      <w:proofErr w:type="spellStart"/>
      <w:r w:rsidRPr="00635B89">
        <w:rPr>
          <w:color w:val="333333"/>
        </w:rPr>
        <w:t>şi</w:t>
      </w:r>
      <w:proofErr w:type="spellEnd"/>
      <w:r w:rsidRPr="00635B89">
        <w:rPr>
          <w:color w:val="333333"/>
        </w:rPr>
        <w:t xml:space="preserve"> </w:t>
      </w:r>
      <w:proofErr w:type="spellStart"/>
      <w:r w:rsidRPr="00635B89">
        <w:rPr>
          <w:color w:val="333333"/>
        </w:rPr>
        <w:t>Direcţia</w:t>
      </w:r>
      <w:proofErr w:type="spellEnd"/>
      <w:r w:rsidRPr="00635B89">
        <w:rPr>
          <w:color w:val="333333"/>
        </w:rPr>
        <w:t xml:space="preserve"> Regională de Drumuri </w:t>
      </w:r>
      <w:proofErr w:type="spellStart"/>
      <w:r w:rsidRPr="00635B89">
        <w:rPr>
          <w:color w:val="333333"/>
        </w:rPr>
        <w:t>şi</w:t>
      </w:r>
      <w:proofErr w:type="spellEnd"/>
      <w:r w:rsidRPr="00635B89">
        <w:rPr>
          <w:color w:val="333333"/>
        </w:rPr>
        <w:t xml:space="preserve"> Poduri </w:t>
      </w:r>
      <w:proofErr w:type="spellStart"/>
      <w:r w:rsidRPr="00635B89">
        <w:rPr>
          <w:color w:val="333333"/>
        </w:rPr>
        <w:t>Constanţa</w:t>
      </w:r>
      <w:proofErr w:type="spellEnd"/>
      <w:r w:rsidRPr="00635B89">
        <w:rPr>
          <w:color w:val="333333"/>
        </w:rPr>
        <w:t xml:space="preserve">; alte puncte suplimentare </w:t>
      </w:r>
      <w:proofErr w:type="spellStart"/>
      <w:r w:rsidRPr="00635B89">
        <w:rPr>
          <w:color w:val="333333"/>
        </w:rPr>
        <w:t>faţă</w:t>
      </w:r>
      <w:proofErr w:type="spellEnd"/>
      <w:r w:rsidRPr="00635B89">
        <w:rPr>
          <w:color w:val="333333"/>
        </w:rPr>
        <w:t xml:space="preserve"> de cele </w:t>
      </w:r>
      <w:proofErr w:type="spellStart"/>
      <w:r w:rsidRPr="00635B89">
        <w:rPr>
          <w:color w:val="333333"/>
        </w:rPr>
        <w:t>menţionate</w:t>
      </w:r>
      <w:proofErr w:type="spellEnd"/>
      <w:r w:rsidRPr="00635B89">
        <w:rPr>
          <w:color w:val="333333"/>
        </w:rPr>
        <w:t xml:space="preserve"> vor fi publicate pe site-ul Companiei </w:t>
      </w:r>
      <w:proofErr w:type="spellStart"/>
      <w:r w:rsidRPr="00635B89">
        <w:rPr>
          <w:color w:val="333333"/>
        </w:rPr>
        <w:t>Naţionale</w:t>
      </w:r>
      <w:proofErr w:type="spellEnd"/>
      <w:r w:rsidRPr="00635B89">
        <w:rPr>
          <w:color w:val="333333"/>
        </w:rPr>
        <w:t xml:space="preserve"> de Administrare a Infrastructurii Rutiere - S.A.;</w:t>
      </w:r>
    </w:p>
    <w:p w:rsidR="003B63F3" w:rsidRPr="00635B89" w:rsidRDefault="00CE36DD" w:rsidP="00635B89">
      <w:pPr>
        <w:pStyle w:val="al"/>
        <w:ind w:left="426" w:right="425"/>
        <w:rPr>
          <w:color w:val="333333"/>
        </w:rPr>
      </w:pPr>
      <w:r w:rsidRPr="00635B89">
        <w:rPr>
          <w:color w:val="333333"/>
        </w:rPr>
        <w:t xml:space="preserve">6. eliberarea permisului de liberă trecere </w:t>
      </w:r>
      <w:proofErr w:type="spellStart"/>
      <w:r w:rsidRPr="00635B89">
        <w:rPr>
          <w:color w:val="333333"/>
        </w:rPr>
        <w:t>şi</w:t>
      </w:r>
      <w:proofErr w:type="spellEnd"/>
      <w:r w:rsidRPr="00635B89">
        <w:rPr>
          <w:color w:val="333333"/>
        </w:rPr>
        <w:t xml:space="preserve">/sau comunicarea răspunsului, după caz, se fac/face cel târziu până în ultima zi lucrătoare din luna în care s-a depus </w:t>
      </w:r>
      <w:proofErr w:type="spellStart"/>
      <w:r w:rsidRPr="00635B89">
        <w:rPr>
          <w:color w:val="333333"/>
        </w:rPr>
        <w:t>documentaţia</w:t>
      </w:r>
      <w:proofErr w:type="spellEnd"/>
      <w:r w:rsidRPr="00635B89">
        <w:rPr>
          <w:color w:val="333333"/>
        </w:rPr>
        <w:t xml:space="preserve"> completă;</w:t>
      </w:r>
    </w:p>
    <w:p w:rsidR="003B63F3" w:rsidRPr="00635B89" w:rsidRDefault="00CE36DD" w:rsidP="00635B89">
      <w:pPr>
        <w:pStyle w:val="al"/>
        <w:ind w:left="426" w:right="425"/>
        <w:rPr>
          <w:color w:val="333333"/>
        </w:rPr>
      </w:pPr>
      <w:r w:rsidRPr="00635B89">
        <w:rPr>
          <w:color w:val="333333"/>
        </w:rPr>
        <w:t xml:space="preserve">7. permisele de liberă trecere neridicate în termen de 45 de zile de la data depunerii documentelor se anulează, fiind necesară depunerea unei alte </w:t>
      </w:r>
      <w:proofErr w:type="spellStart"/>
      <w:r w:rsidRPr="00635B89">
        <w:rPr>
          <w:color w:val="333333"/>
        </w:rPr>
        <w:t>documentaţii</w:t>
      </w:r>
      <w:proofErr w:type="spellEnd"/>
      <w:r w:rsidRPr="00635B89">
        <w:rPr>
          <w:color w:val="333333"/>
        </w:rPr>
        <w:t xml:space="preserve"> complete pentru eliberarea unui nou permis de liberă trecere;</w:t>
      </w:r>
    </w:p>
    <w:p w:rsidR="003B63F3" w:rsidRPr="00635B89" w:rsidRDefault="00CE36DD" w:rsidP="00635B89">
      <w:pPr>
        <w:pStyle w:val="al"/>
        <w:ind w:left="426" w:right="425"/>
        <w:rPr>
          <w:color w:val="333333"/>
        </w:rPr>
      </w:pPr>
      <w:r w:rsidRPr="00635B89">
        <w:rPr>
          <w:color w:val="333333"/>
        </w:rPr>
        <w:t xml:space="preserve">8. permisele de liberă trecere pentru persoanele cu handicap accentuat sau grav au valabilitate 12 (douăsprezece) luni, începând cu data de 1 a lunii următoare, în care sunt îndeplinite </w:t>
      </w:r>
      <w:proofErr w:type="spellStart"/>
      <w:r w:rsidRPr="00635B89">
        <w:rPr>
          <w:color w:val="333333"/>
        </w:rPr>
        <w:t>condiţiile</w:t>
      </w:r>
      <w:proofErr w:type="spellEnd"/>
      <w:r w:rsidRPr="00635B89">
        <w:rPr>
          <w:color w:val="333333"/>
        </w:rPr>
        <w:t xml:space="preserve"> de acordare a </w:t>
      </w:r>
      <w:proofErr w:type="spellStart"/>
      <w:r w:rsidRPr="00635B89">
        <w:rPr>
          <w:color w:val="333333"/>
        </w:rPr>
        <w:t>excepţiei</w:t>
      </w:r>
      <w:proofErr w:type="spellEnd"/>
      <w:r w:rsidRPr="00635B89">
        <w:rPr>
          <w:color w:val="333333"/>
        </w:rPr>
        <w:t>;</w:t>
      </w:r>
    </w:p>
    <w:p w:rsidR="003B63F3" w:rsidRPr="00635B89" w:rsidRDefault="00CE36DD" w:rsidP="00635B89">
      <w:pPr>
        <w:pStyle w:val="al"/>
        <w:ind w:left="426" w:right="425"/>
        <w:rPr>
          <w:color w:val="333333"/>
        </w:rPr>
      </w:pPr>
      <w:r w:rsidRPr="00635B89">
        <w:rPr>
          <w:color w:val="333333"/>
        </w:rPr>
        <w:t xml:space="preserve">9. modelul permiselor de liberă trecere pentru persoanele cu handicap accentuat sau grav, modelul pentru cererea de eliberare a permiselor de liberă trecere pentru persoanele cu handicap accentuat sau grav </w:t>
      </w:r>
      <w:proofErr w:type="spellStart"/>
      <w:r w:rsidRPr="00635B89">
        <w:rPr>
          <w:color w:val="333333"/>
        </w:rPr>
        <w:t>şi</w:t>
      </w:r>
      <w:proofErr w:type="spellEnd"/>
      <w:r w:rsidRPr="00635B89">
        <w:rPr>
          <w:color w:val="333333"/>
        </w:rPr>
        <w:t xml:space="preserve"> procedura de emitere, gestionare </w:t>
      </w:r>
      <w:proofErr w:type="spellStart"/>
      <w:r w:rsidRPr="00635B89">
        <w:rPr>
          <w:color w:val="333333"/>
        </w:rPr>
        <w:t>şi</w:t>
      </w:r>
      <w:proofErr w:type="spellEnd"/>
      <w:r w:rsidRPr="00635B89">
        <w:rPr>
          <w:color w:val="333333"/>
        </w:rPr>
        <w:t xml:space="preserve"> control al acestora vor fi stabilite de Compania </w:t>
      </w:r>
      <w:proofErr w:type="spellStart"/>
      <w:r w:rsidRPr="00635B89">
        <w:rPr>
          <w:color w:val="333333"/>
        </w:rPr>
        <w:t>Naţională</w:t>
      </w:r>
      <w:proofErr w:type="spellEnd"/>
      <w:r w:rsidRPr="00635B89">
        <w:rPr>
          <w:color w:val="333333"/>
        </w:rPr>
        <w:t xml:space="preserve"> de Administrare a Infrastructurii Rutiere - S.A. prin </w:t>
      </w:r>
      <w:proofErr w:type="spellStart"/>
      <w:r w:rsidRPr="00635B89">
        <w:rPr>
          <w:color w:val="333333"/>
        </w:rPr>
        <w:t>Direcţia</w:t>
      </w:r>
      <w:proofErr w:type="spellEnd"/>
      <w:r w:rsidRPr="00635B89">
        <w:rPr>
          <w:color w:val="333333"/>
        </w:rPr>
        <w:t xml:space="preserve"> Regională de Drumuri </w:t>
      </w:r>
      <w:proofErr w:type="spellStart"/>
      <w:r w:rsidRPr="00635B89">
        <w:rPr>
          <w:color w:val="333333"/>
        </w:rPr>
        <w:t>şi</w:t>
      </w:r>
      <w:proofErr w:type="spellEnd"/>
      <w:r w:rsidRPr="00635B89">
        <w:rPr>
          <w:color w:val="333333"/>
        </w:rPr>
        <w:t xml:space="preserve"> Poduri </w:t>
      </w:r>
      <w:proofErr w:type="spellStart"/>
      <w:r w:rsidRPr="00635B89">
        <w:rPr>
          <w:color w:val="333333"/>
        </w:rPr>
        <w:t>Constanţa</w:t>
      </w:r>
      <w:proofErr w:type="spellEnd"/>
      <w:r w:rsidRPr="00635B89">
        <w:rPr>
          <w:color w:val="333333"/>
        </w:rPr>
        <w:t>;</w:t>
      </w:r>
    </w:p>
    <w:p w:rsidR="003B63F3" w:rsidRPr="00635B89" w:rsidRDefault="00CE36DD" w:rsidP="00635B89">
      <w:pPr>
        <w:pStyle w:val="al"/>
        <w:ind w:left="426" w:right="425"/>
        <w:rPr>
          <w:color w:val="333333"/>
        </w:rPr>
      </w:pPr>
      <w:r w:rsidRPr="00635B89">
        <w:rPr>
          <w:color w:val="333333"/>
        </w:rPr>
        <w:t xml:space="preserve">10. modelul pentru cererea de eliberare a permiselor de liberă trecere pentru persoanele cu handicap accentuat sau grav va fi publicat pe pagina web a Companiei </w:t>
      </w:r>
      <w:proofErr w:type="spellStart"/>
      <w:r w:rsidRPr="00635B89">
        <w:rPr>
          <w:color w:val="333333"/>
        </w:rPr>
        <w:t>Naţionale</w:t>
      </w:r>
      <w:proofErr w:type="spellEnd"/>
      <w:r w:rsidRPr="00635B89">
        <w:rPr>
          <w:color w:val="333333"/>
        </w:rPr>
        <w:t xml:space="preserve"> de Administrare a Infrastructurii Rutiere - S.A. </w:t>
      </w:r>
      <w:proofErr w:type="spellStart"/>
      <w:r w:rsidRPr="00635B89">
        <w:rPr>
          <w:color w:val="333333"/>
        </w:rPr>
        <w:t>şi</w:t>
      </w:r>
      <w:proofErr w:type="spellEnd"/>
      <w:r w:rsidRPr="00635B89">
        <w:rPr>
          <w:color w:val="333333"/>
        </w:rPr>
        <w:t xml:space="preserve"> a </w:t>
      </w:r>
      <w:proofErr w:type="spellStart"/>
      <w:r w:rsidRPr="00635B89">
        <w:rPr>
          <w:color w:val="333333"/>
        </w:rPr>
        <w:t>Direcţiei</w:t>
      </w:r>
      <w:proofErr w:type="spellEnd"/>
      <w:r w:rsidRPr="00635B89">
        <w:rPr>
          <w:color w:val="333333"/>
        </w:rPr>
        <w:t xml:space="preserve"> Regionale de Drumuri </w:t>
      </w:r>
      <w:proofErr w:type="spellStart"/>
      <w:r w:rsidRPr="00635B89">
        <w:rPr>
          <w:color w:val="333333"/>
        </w:rPr>
        <w:t>şi</w:t>
      </w:r>
      <w:proofErr w:type="spellEnd"/>
      <w:r w:rsidRPr="00635B89">
        <w:rPr>
          <w:color w:val="333333"/>
        </w:rPr>
        <w:t xml:space="preserve"> Poduri </w:t>
      </w:r>
      <w:proofErr w:type="spellStart"/>
      <w:r w:rsidRPr="00635B89">
        <w:rPr>
          <w:color w:val="333333"/>
        </w:rPr>
        <w:t>Constanţa</w:t>
      </w:r>
      <w:proofErr w:type="spellEnd"/>
      <w:r w:rsidRPr="00635B89">
        <w:rPr>
          <w:color w:val="333333"/>
        </w:rPr>
        <w:t>;</w:t>
      </w:r>
    </w:p>
    <w:p w:rsidR="003B63F3" w:rsidRPr="00635B89" w:rsidRDefault="00CE36DD" w:rsidP="00635B89">
      <w:pPr>
        <w:pStyle w:val="al"/>
        <w:ind w:left="426" w:right="425"/>
        <w:rPr>
          <w:color w:val="333333"/>
        </w:rPr>
      </w:pPr>
      <w:r w:rsidRPr="00635B89">
        <w:rPr>
          <w:color w:val="333333"/>
        </w:rPr>
        <w:t xml:space="preserve">11. în cazul modificării </w:t>
      </w:r>
      <w:proofErr w:type="spellStart"/>
      <w:r w:rsidRPr="00635B89">
        <w:rPr>
          <w:color w:val="333333"/>
        </w:rPr>
        <w:t>condiţiilor</w:t>
      </w:r>
      <w:proofErr w:type="spellEnd"/>
      <w:r w:rsidRPr="00635B89">
        <w:rPr>
          <w:color w:val="333333"/>
        </w:rPr>
        <w:t xml:space="preserve"> în baza cărora a fost acordată </w:t>
      </w:r>
      <w:proofErr w:type="spellStart"/>
      <w:r w:rsidRPr="00635B89">
        <w:rPr>
          <w:color w:val="333333"/>
        </w:rPr>
        <w:t>excepţia</w:t>
      </w:r>
      <w:proofErr w:type="spellEnd"/>
      <w:r w:rsidRPr="00635B89">
        <w:rPr>
          <w:color w:val="333333"/>
        </w:rPr>
        <w:t xml:space="preserve"> de la plata tarifelor, persoanele care au solicitat permisele de liberă trecere pentru persoanele cu handicap accentuat sau grav au </w:t>
      </w:r>
      <w:proofErr w:type="spellStart"/>
      <w:r w:rsidRPr="00635B89">
        <w:rPr>
          <w:color w:val="333333"/>
        </w:rPr>
        <w:t>obligaţia</w:t>
      </w:r>
      <w:proofErr w:type="spellEnd"/>
      <w:r w:rsidRPr="00635B89">
        <w:rPr>
          <w:color w:val="333333"/>
        </w:rPr>
        <w:t xml:space="preserve"> de a </w:t>
      </w:r>
      <w:proofErr w:type="spellStart"/>
      <w:r w:rsidRPr="00635B89">
        <w:rPr>
          <w:color w:val="333333"/>
        </w:rPr>
        <w:t>anunţa</w:t>
      </w:r>
      <w:proofErr w:type="spellEnd"/>
      <w:r w:rsidRPr="00635B89">
        <w:rPr>
          <w:color w:val="333333"/>
        </w:rPr>
        <w:t xml:space="preserve"> în scris Compania </w:t>
      </w:r>
      <w:proofErr w:type="spellStart"/>
      <w:r w:rsidRPr="00635B89">
        <w:rPr>
          <w:color w:val="333333"/>
        </w:rPr>
        <w:t>Naţională</w:t>
      </w:r>
      <w:proofErr w:type="spellEnd"/>
      <w:r w:rsidRPr="00635B89">
        <w:rPr>
          <w:color w:val="333333"/>
        </w:rPr>
        <w:t xml:space="preserve"> de Administrare a Infrastructurii Rutiere - S.A. prin </w:t>
      </w:r>
      <w:proofErr w:type="spellStart"/>
      <w:r w:rsidRPr="00635B89">
        <w:rPr>
          <w:color w:val="333333"/>
        </w:rPr>
        <w:t>Direcţia</w:t>
      </w:r>
      <w:proofErr w:type="spellEnd"/>
      <w:r w:rsidRPr="00635B89">
        <w:rPr>
          <w:color w:val="333333"/>
        </w:rPr>
        <w:t xml:space="preserve"> Regională de Drumuri </w:t>
      </w:r>
      <w:proofErr w:type="spellStart"/>
      <w:r w:rsidRPr="00635B89">
        <w:rPr>
          <w:color w:val="333333"/>
        </w:rPr>
        <w:t>şi</w:t>
      </w:r>
      <w:proofErr w:type="spellEnd"/>
      <w:r w:rsidRPr="00635B89">
        <w:rPr>
          <w:color w:val="333333"/>
        </w:rPr>
        <w:t xml:space="preserve"> Poduri </w:t>
      </w:r>
      <w:proofErr w:type="spellStart"/>
      <w:r w:rsidRPr="00635B89">
        <w:rPr>
          <w:color w:val="333333"/>
        </w:rPr>
        <w:t>Constanţa</w:t>
      </w:r>
      <w:proofErr w:type="spellEnd"/>
      <w:r w:rsidRPr="00635B89">
        <w:rPr>
          <w:color w:val="333333"/>
        </w:rPr>
        <w:t xml:space="preserve"> despre modificările survenite sau pierderea dreptului de gratuitate </w:t>
      </w:r>
      <w:proofErr w:type="spellStart"/>
      <w:r w:rsidRPr="00635B89">
        <w:rPr>
          <w:color w:val="333333"/>
        </w:rPr>
        <w:t>şi</w:t>
      </w:r>
      <w:proofErr w:type="spellEnd"/>
      <w:r w:rsidRPr="00635B89">
        <w:rPr>
          <w:color w:val="333333"/>
        </w:rPr>
        <w:t xml:space="preserve"> de a preda permisul de liberă trecere în original, în vederea anulării, în maximum 5 zile lucrătoare;</w:t>
      </w:r>
    </w:p>
    <w:p w:rsidR="003B63F3" w:rsidRPr="00635B89" w:rsidRDefault="00CE36DD" w:rsidP="00635B89">
      <w:pPr>
        <w:pStyle w:val="al"/>
        <w:ind w:left="426" w:right="425"/>
        <w:rPr>
          <w:color w:val="333333"/>
        </w:rPr>
      </w:pPr>
      <w:r w:rsidRPr="00635B89">
        <w:rPr>
          <w:color w:val="333333"/>
        </w:rPr>
        <w:t xml:space="preserve">12. nerespectarea </w:t>
      </w:r>
      <w:proofErr w:type="spellStart"/>
      <w:r w:rsidRPr="00635B89">
        <w:rPr>
          <w:color w:val="333333"/>
        </w:rPr>
        <w:t>obligaţiilor</w:t>
      </w:r>
      <w:proofErr w:type="spellEnd"/>
      <w:r w:rsidRPr="00635B89">
        <w:rPr>
          <w:color w:val="333333"/>
        </w:rPr>
        <w:t xml:space="preserve"> prevăzute la pct. 11 conduce la recuperarea de către </w:t>
      </w:r>
      <w:proofErr w:type="spellStart"/>
      <w:r w:rsidRPr="00635B89">
        <w:rPr>
          <w:color w:val="333333"/>
        </w:rPr>
        <w:t>Direcţia</w:t>
      </w:r>
      <w:proofErr w:type="spellEnd"/>
      <w:r w:rsidRPr="00635B89">
        <w:rPr>
          <w:color w:val="333333"/>
        </w:rPr>
        <w:t xml:space="preserve"> Regională de Drumuri </w:t>
      </w:r>
      <w:proofErr w:type="spellStart"/>
      <w:r w:rsidRPr="00635B89">
        <w:rPr>
          <w:color w:val="333333"/>
        </w:rPr>
        <w:t>şi</w:t>
      </w:r>
      <w:proofErr w:type="spellEnd"/>
      <w:r w:rsidRPr="00635B89">
        <w:rPr>
          <w:color w:val="333333"/>
        </w:rPr>
        <w:t xml:space="preserve"> Poduri </w:t>
      </w:r>
      <w:proofErr w:type="spellStart"/>
      <w:r w:rsidRPr="00635B89">
        <w:rPr>
          <w:color w:val="333333"/>
        </w:rPr>
        <w:t>Constanţa</w:t>
      </w:r>
      <w:proofErr w:type="spellEnd"/>
      <w:r w:rsidRPr="00635B89">
        <w:rPr>
          <w:color w:val="333333"/>
        </w:rPr>
        <w:t xml:space="preserve"> de la persoanele care au beneficiat de gratuitate a sumelor calculate pentru perioada cuprinsă între data de la care nu mai sunt îndeplinite </w:t>
      </w:r>
      <w:proofErr w:type="spellStart"/>
      <w:r w:rsidRPr="00635B89">
        <w:rPr>
          <w:color w:val="333333"/>
        </w:rPr>
        <w:t>condiţiile</w:t>
      </w:r>
      <w:proofErr w:type="spellEnd"/>
      <w:r w:rsidRPr="00635B89">
        <w:rPr>
          <w:color w:val="333333"/>
        </w:rPr>
        <w:t xml:space="preserve"> de acordare a </w:t>
      </w:r>
      <w:proofErr w:type="spellStart"/>
      <w:r w:rsidRPr="00635B89">
        <w:rPr>
          <w:color w:val="333333"/>
        </w:rPr>
        <w:t>excepţiei</w:t>
      </w:r>
      <w:proofErr w:type="spellEnd"/>
      <w:r w:rsidRPr="00635B89">
        <w:rPr>
          <w:color w:val="333333"/>
        </w:rPr>
        <w:t xml:space="preserve"> </w:t>
      </w:r>
      <w:proofErr w:type="spellStart"/>
      <w:r w:rsidRPr="00635B89">
        <w:rPr>
          <w:color w:val="333333"/>
        </w:rPr>
        <w:t>şi</w:t>
      </w:r>
      <w:proofErr w:type="spellEnd"/>
      <w:r w:rsidRPr="00635B89">
        <w:rPr>
          <w:color w:val="333333"/>
        </w:rPr>
        <w:t xml:space="preserve"> data constatării neîncadrării în </w:t>
      </w:r>
      <w:proofErr w:type="spellStart"/>
      <w:r w:rsidRPr="00635B89">
        <w:rPr>
          <w:color w:val="333333"/>
        </w:rPr>
        <w:t>excepţie</w:t>
      </w:r>
      <w:proofErr w:type="spellEnd"/>
      <w:r w:rsidRPr="00635B89">
        <w:rPr>
          <w:color w:val="333333"/>
        </w:rPr>
        <w:t>.</w:t>
      </w:r>
    </w:p>
    <w:p w:rsidR="003B63F3" w:rsidRPr="00635B89" w:rsidRDefault="00CE36DD" w:rsidP="00635B89">
      <w:pPr>
        <w:pStyle w:val="al"/>
        <w:ind w:left="426" w:right="425"/>
        <w:rPr>
          <w:color w:val="333333"/>
        </w:rPr>
      </w:pPr>
      <w:r w:rsidRPr="00635B89">
        <w:rPr>
          <w:color w:val="333333"/>
        </w:rPr>
        <w:t xml:space="preserve">C. Sunt exceptate de la plata tarifului de trecere vehiculele care efectuează transporturi de echipamente de prim ajutor </w:t>
      </w:r>
      <w:proofErr w:type="spellStart"/>
      <w:r w:rsidRPr="00635B89">
        <w:rPr>
          <w:color w:val="333333"/>
        </w:rPr>
        <w:t>şi</w:t>
      </w:r>
      <w:proofErr w:type="spellEnd"/>
      <w:r w:rsidRPr="00635B89">
        <w:rPr>
          <w:color w:val="333333"/>
        </w:rPr>
        <w:t xml:space="preserve"> ajutoare umanitare, utilajele destinate </w:t>
      </w:r>
      <w:proofErr w:type="spellStart"/>
      <w:r w:rsidRPr="00635B89">
        <w:rPr>
          <w:color w:val="333333"/>
        </w:rPr>
        <w:t>intervenţiilor</w:t>
      </w:r>
      <w:proofErr w:type="spellEnd"/>
      <w:r w:rsidRPr="00635B89">
        <w:rPr>
          <w:color w:val="333333"/>
        </w:rPr>
        <w:t xml:space="preserve"> sau vehiculele care transportă </w:t>
      </w:r>
      <w:r w:rsidRPr="00635B89">
        <w:rPr>
          <w:color w:val="333333"/>
        </w:rPr>
        <w:lastRenderedPageBreak/>
        <w:t xml:space="preserve">astfel de utilaje, în cadrul unor misiuni umanitare pe teritoriul României sau care tranzitează România în scop umanitar, la solicitarea Departamentului pentru </w:t>
      </w:r>
      <w:proofErr w:type="spellStart"/>
      <w:r w:rsidRPr="00635B89">
        <w:rPr>
          <w:color w:val="333333"/>
        </w:rPr>
        <w:t>Situaţii</w:t>
      </w:r>
      <w:proofErr w:type="spellEnd"/>
      <w:r w:rsidRPr="00635B89">
        <w:rPr>
          <w:color w:val="333333"/>
        </w:rPr>
        <w:t xml:space="preserve"> de </w:t>
      </w:r>
      <w:proofErr w:type="spellStart"/>
      <w:r w:rsidRPr="00635B89">
        <w:rPr>
          <w:color w:val="333333"/>
        </w:rPr>
        <w:t>Urgenţă</w:t>
      </w:r>
      <w:proofErr w:type="spellEnd"/>
      <w:r w:rsidRPr="00635B89">
        <w:rPr>
          <w:color w:val="333333"/>
        </w:rPr>
        <w:t xml:space="preserve"> din cadrul Ministerului Afacerilor Interne, în baza unui protocol de colaborare între cele două </w:t>
      </w:r>
      <w:proofErr w:type="spellStart"/>
      <w:r w:rsidRPr="00635B89">
        <w:rPr>
          <w:color w:val="333333"/>
        </w:rPr>
        <w:t>părţi</w:t>
      </w:r>
      <w:proofErr w:type="spellEnd"/>
      <w:r w:rsidRPr="00635B89">
        <w:rPr>
          <w:color w:val="333333"/>
        </w:rPr>
        <w:t xml:space="preserve"> care să prevadă metodologia de lucru, punctele de contact </w:t>
      </w:r>
      <w:proofErr w:type="spellStart"/>
      <w:r w:rsidRPr="00635B89">
        <w:rPr>
          <w:color w:val="333333"/>
        </w:rPr>
        <w:t>şi</w:t>
      </w:r>
      <w:proofErr w:type="spellEnd"/>
      <w:r w:rsidRPr="00635B89">
        <w:rPr>
          <w:color w:val="333333"/>
        </w:rPr>
        <w:t xml:space="preserve"> </w:t>
      </w:r>
      <w:proofErr w:type="spellStart"/>
      <w:r w:rsidRPr="00635B89">
        <w:rPr>
          <w:color w:val="333333"/>
        </w:rPr>
        <w:t>modalităţile</w:t>
      </w:r>
      <w:proofErr w:type="spellEnd"/>
      <w:r w:rsidRPr="00635B89">
        <w:rPr>
          <w:color w:val="333333"/>
        </w:rPr>
        <w:t xml:space="preserve"> de comunicare operativă între cele două </w:t>
      </w:r>
      <w:proofErr w:type="spellStart"/>
      <w:r w:rsidRPr="00635B89">
        <w:rPr>
          <w:color w:val="333333"/>
        </w:rPr>
        <w:t>părţi</w:t>
      </w:r>
      <w:proofErr w:type="spellEnd"/>
      <w:r w:rsidRPr="00635B89">
        <w:rPr>
          <w:color w:val="333333"/>
        </w:rPr>
        <w:t>.</w:t>
      </w:r>
    </w:p>
    <w:p w:rsidR="003B63F3" w:rsidRPr="00635B89" w:rsidRDefault="00CE36DD" w:rsidP="00635B89">
      <w:pPr>
        <w:spacing w:after="0" w:line="240" w:lineRule="auto"/>
        <w:ind w:left="426"/>
        <w:jc w:val="both"/>
        <w:rPr>
          <w:rFonts w:ascii="Times New Roman" w:eastAsia="Times New Roman" w:hAnsi="Times New Roman" w:cs="Times New Roman"/>
          <w:color w:val="339966"/>
          <w:sz w:val="24"/>
          <w:szCs w:val="24"/>
        </w:rPr>
      </w:pPr>
      <w:r w:rsidRPr="00635B89">
        <w:rPr>
          <w:rFonts w:ascii="Times New Roman" w:eastAsia="Times New Roman" w:hAnsi="Times New Roman" w:cs="Times New Roman"/>
          <w:color w:val="339966"/>
          <w:sz w:val="24"/>
          <w:szCs w:val="24"/>
        </w:rPr>
        <w:t xml:space="preserve"> </w:t>
      </w:r>
    </w:p>
    <w:p w:rsidR="00A3193C" w:rsidRPr="00635B89" w:rsidRDefault="00C237DA" w:rsidP="00635B89">
      <w:pPr>
        <w:spacing w:after="0" w:line="240" w:lineRule="auto"/>
        <w:ind w:left="426"/>
        <w:rPr>
          <w:rFonts w:ascii="Times New Roman" w:hAnsi="Times New Roman" w:cs="Times New Roman"/>
          <w:sz w:val="24"/>
          <w:szCs w:val="24"/>
        </w:rPr>
      </w:pPr>
      <w:r w:rsidRPr="00635B89">
        <w:rPr>
          <w:rFonts w:ascii="Times New Roman" w:hAnsi="Times New Roman" w:cs="Times New Roman"/>
          <w:sz w:val="24"/>
          <w:szCs w:val="24"/>
        </w:rPr>
        <w:t xml:space="preserve"> </w:t>
      </w:r>
    </w:p>
    <w:sectPr w:rsidR="00A3193C" w:rsidRPr="00635B89" w:rsidSect="00942870">
      <w:footerReference w:type="default" r:id="rId6"/>
      <w:pgSz w:w="11906" w:h="16838"/>
      <w:pgMar w:top="360" w:right="424" w:bottom="54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070" w:rsidRDefault="00711070" w:rsidP="00942870">
      <w:pPr>
        <w:spacing w:after="0" w:line="240" w:lineRule="auto"/>
      </w:pPr>
      <w:r>
        <w:separator/>
      </w:r>
    </w:p>
  </w:endnote>
  <w:endnote w:type="continuationSeparator" w:id="0">
    <w:p w:rsidR="00711070" w:rsidRDefault="00711070" w:rsidP="0094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396884"/>
      <w:docPartObj>
        <w:docPartGallery w:val="Page Numbers (Bottom of Page)"/>
        <w:docPartUnique/>
      </w:docPartObj>
    </w:sdtPr>
    <w:sdtEndPr>
      <w:rPr>
        <w:noProof/>
      </w:rPr>
    </w:sdtEndPr>
    <w:sdtContent>
      <w:p w:rsidR="00942870" w:rsidRDefault="009428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42870" w:rsidRDefault="0094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070" w:rsidRDefault="00711070" w:rsidP="00942870">
      <w:pPr>
        <w:spacing w:after="0" w:line="240" w:lineRule="auto"/>
      </w:pPr>
      <w:r>
        <w:separator/>
      </w:r>
    </w:p>
  </w:footnote>
  <w:footnote w:type="continuationSeparator" w:id="0">
    <w:p w:rsidR="00711070" w:rsidRDefault="00711070" w:rsidP="00942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C"/>
    <w:rsid w:val="00037040"/>
    <w:rsid w:val="002B1C4A"/>
    <w:rsid w:val="003403F2"/>
    <w:rsid w:val="003B63F3"/>
    <w:rsid w:val="004C675D"/>
    <w:rsid w:val="004F3E9D"/>
    <w:rsid w:val="005D5FD2"/>
    <w:rsid w:val="00635B89"/>
    <w:rsid w:val="006C6638"/>
    <w:rsid w:val="006E6F8B"/>
    <w:rsid w:val="00711070"/>
    <w:rsid w:val="00837FCC"/>
    <w:rsid w:val="0088059A"/>
    <w:rsid w:val="00942870"/>
    <w:rsid w:val="00A3193C"/>
    <w:rsid w:val="00A951EA"/>
    <w:rsid w:val="00C237DA"/>
    <w:rsid w:val="00CE36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7D1BC"/>
  <w15:docId w15:val="{4BD67DF3-478D-44DA-AF53-DCD05080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s2">
    <w:name w:val="s_2"/>
    <w:basedOn w:val="Normal"/>
    <w:pPr>
      <w:spacing w:before="100" w:beforeAutospacing="1" w:after="300" w:line="240" w:lineRule="auto"/>
    </w:pPr>
    <w:rPr>
      <w:rFonts w:ascii="Times New Roman" w:hAnsi="Times New Roman" w:cs="Times New Roman"/>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paragraph" w:customStyle="1" w:styleId="cmt1">
    <w:name w:val="cmt1"/>
    <w:basedOn w:val="Normal"/>
    <w:pPr>
      <w:spacing w:after="0" w:line="240" w:lineRule="auto"/>
      <w:jc w:val="both"/>
    </w:pPr>
    <w:rPr>
      <w:rFonts w:ascii="Times New Roman" w:hAnsi="Times New Roman" w:cs="Times New Roman"/>
      <w:color w:val="339966"/>
      <w:sz w:val="24"/>
      <w:szCs w:val="24"/>
    </w:rPr>
  </w:style>
  <w:style w:type="paragraph" w:customStyle="1" w:styleId="cmg1">
    <w:name w:val="cmg1"/>
    <w:basedOn w:val="Normal"/>
    <w:pPr>
      <w:spacing w:after="0" w:line="240" w:lineRule="auto"/>
      <w:jc w:val="both"/>
    </w:pPr>
    <w:rPr>
      <w:rFonts w:ascii="Times New Roman" w:hAnsi="Times New Roman" w:cs="Times New Roman"/>
      <w:color w:val="339966"/>
      <w:sz w:val="20"/>
      <w:szCs w:val="20"/>
    </w:rPr>
  </w:style>
  <w:style w:type="paragraph" w:customStyle="1" w:styleId="cmg2">
    <w:name w:val="cmg2"/>
    <w:basedOn w:val="Normal"/>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character" w:customStyle="1" w:styleId="cmg3">
    <w:name w:val="cmg3"/>
    <w:basedOn w:val="DefaultParagraphFont"/>
  </w:style>
  <w:style w:type="paragraph" w:styleId="Header">
    <w:name w:val="header"/>
    <w:basedOn w:val="Normal"/>
    <w:link w:val="HeaderChar"/>
    <w:uiPriority w:val="99"/>
    <w:unhideWhenUsed/>
    <w:rsid w:val="0094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70"/>
  </w:style>
  <w:style w:type="paragraph" w:styleId="Footer">
    <w:name w:val="footer"/>
    <w:basedOn w:val="Normal"/>
    <w:link w:val="FooterChar"/>
    <w:uiPriority w:val="99"/>
    <w:unhideWhenUsed/>
    <w:rsid w:val="0094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0805">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CNAIR SA</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2025-07-21T07:01:00Z</dcterms:created>
  <dcterms:modified xsi:type="dcterms:W3CDTF">2025-08-21T15:30:00Z</dcterms:modified>
</cp:coreProperties>
</file>