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4FD26" w14:textId="6B829A8C" w:rsidR="00E53B41" w:rsidRPr="005169A7" w:rsidRDefault="00896079" w:rsidP="00C36216">
      <w:pPr>
        <w:keepNext/>
        <w:keepLines/>
        <w:jc w:val="center"/>
        <w:outlineLvl w:val="3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>GUVERNU</w:t>
      </w:r>
      <w:r w:rsidR="00E53B41" w:rsidRPr="005169A7">
        <w:rPr>
          <w:rFonts w:ascii="Times New Roman" w:eastAsia="Times New Roman" w:hAnsi="Times New Roman"/>
          <w:b/>
          <w:sz w:val="28"/>
          <w:szCs w:val="28"/>
        </w:rPr>
        <w:t>L ROMÂNIEI</w:t>
      </w:r>
    </w:p>
    <w:p w14:paraId="6FB063DB" w14:textId="77777777" w:rsidR="00E53B41" w:rsidRPr="005169A7" w:rsidRDefault="00E53B41" w:rsidP="00E53B41">
      <w:pPr>
        <w:keepNext/>
        <w:numPr>
          <w:ilvl w:val="2"/>
          <w:numId w:val="0"/>
        </w:numPr>
        <w:tabs>
          <w:tab w:val="num" w:pos="0"/>
        </w:tabs>
        <w:suppressAutoHyphens/>
        <w:autoSpaceDE w:val="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5CF3CC95" w14:textId="250425F5" w:rsidR="00E53B41" w:rsidRPr="005169A7" w:rsidRDefault="00E53B41" w:rsidP="00E53B41">
      <w:pPr>
        <w:suppressAutoHyphens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5169A7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zh-CN"/>
        </w:rPr>
        <w:drawing>
          <wp:inline distT="0" distB="0" distL="0" distR="0" wp14:anchorId="2FA089A1" wp14:editId="5B2E9482">
            <wp:extent cx="774065" cy="1146175"/>
            <wp:effectExtent l="0" t="0" r="6985" b="0"/>
            <wp:docPr id="300726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E53B41" w:rsidRPr="005169A7" w14:paraId="6E2CB098" w14:textId="77777777" w:rsidTr="00A94330">
        <w:tc>
          <w:tcPr>
            <w:tcW w:w="3402" w:type="dxa"/>
            <w:vAlign w:val="center"/>
          </w:tcPr>
          <w:p w14:paraId="63A7087F" w14:textId="4EF754C1" w:rsidR="00E53B41" w:rsidRPr="005169A7" w:rsidRDefault="00E53B41" w:rsidP="00DE3D42">
            <w:pPr>
              <w:keepNext/>
              <w:keepLines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9FDE0FB" w14:textId="77777777" w:rsidR="00E53B41" w:rsidRPr="005169A7" w:rsidRDefault="00E53B41" w:rsidP="00DE3D42">
            <w:pPr>
              <w:keepNext/>
              <w:keepLine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BACC5CA" w14:textId="0C6FDF47" w:rsidR="00E53B41" w:rsidRPr="005169A7" w:rsidRDefault="00E53B41" w:rsidP="00DE3D42">
            <w:pPr>
              <w:keepNext/>
              <w:keepLine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595C9D2" w14:textId="0CF8823F" w:rsidR="00BD3FDE" w:rsidRPr="00BD3FDE" w:rsidRDefault="00BD3FDE" w:rsidP="00E53B41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BD3FDE">
        <w:rPr>
          <w:rFonts w:eastAsiaTheme="majorEastAsia"/>
          <w:b/>
          <w:noProof/>
          <w:sz w:val="28"/>
          <w:szCs w:val="28"/>
        </w:rPr>
        <w:t xml:space="preserve">Hotărâre a Guvernului pentru </w:t>
      </w:r>
      <w:r w:rsidR="00343688">
        <w:rPr>
          <w:rFonts w:eastAsiaTheme="majorEastAsia"/>
          <w:b/>
          <w:noProof/>
          <w:sz w:val="28"/>
          <w:szCs w:val="28"/>
        </w:rPr>
        <w:t xml:space="preserve">modificarea și </w:t>
      </w:r>
      <w:r w:rsidRPr="00BD3FDE">
        <w:rPr>
          <w:rFonts w:eastAsiaTheme="majorEastAsia"/>
          <w:b/>
          <w:noProof/>
          <w:sz w:val="28"/>
          <w:szCs w:val="28"/>
        </w:rPr>
        <w:t xml:space="preserve">completarea </w:t>
      </w:r>
      <w:r w:rsidRPr="00BD3FDE">
        <w:rPr>
          <w:rFonts w:eastAsiaTheme="majorEastAsia" w:cstheme="minorHAnsi"/>
          <w:b/>
          <w:noProof/>
          <w:sz w:val="28"/>
          <w:szCs w:val="28"/>
        </w:rPr>
        <w:t>Regulamentului-cadru privind criteriile pe baza cărora se stabileşte procentul de majorare salarială pentru persoanele prevăzute la art. 16 alin. (1) şi (2) din Legea-cadru nr. 153/2017 privind salarizarea personalului plătit din fonduri publice, precum şi condiţiile de înfiinţare a posturilor în afara organigramei în cadrul instituţiilor şi/sau autorităţilor publice care implementează proiecte finanţate din fonduri europene nerambursabile şi/sau prin Mecanismul de redresare şi rezilienţă, aprobat prin Hotărârea Guvernului nr. 234/2023</w:t>
      </w:r>
    </w:p>
    <w:p w14:paraId="26DE0F90" w14:textId="77777777" w:rsidR="001D420A" w:rsidRDefault="001D420A" w:rsidP="002F256E">
      <w:pPr>
        <w:rPr>
          <w:b/>
          <w:sz w:val="28"/>
          <w:szCs w:val="28"/>
        </w:rPr>
      </w:pPr>
    </w:p>
    <w:p w14:paraId="5EE42401" w14:textId="77777777" w:rsidR="00BD3FDE" w:rsidRPr="00BD3FDE" w:rsidRDefault="00BD3FDE" w:rsidP="002F256E">
      <w:pPr>
        <w:rPr>
          <w:b/>
          <w:sz w:val="28"/>
          <w:szCs w:val="28"/>
        </w:rPr>
      </w:pPr>
    </w:p>
    <w:p w14:paraId="227DA693" w14:textId="64199EFA" w:rsidR="00C36216" w:rsidRPr="00BD3FDE" w:rsidRDefault="00C36216" w:rsidP="00F70514">
      <w:pPr>
        <w:rPr>
          <w:bCs/>
          <w:sz w:val="28"/>
          <w:szCs w:val="28"/>
        </w:rPr>
      </w:pPr>
      <w:r w:rsidRPr="00BD3FDE">
        <w:rPr>
          <w:bCs/>
          <w:sz w:val="28"/>
          <w:szCs w:val="28"/>
        </w:rPr>
        <w:t>În temeiul</w:t>
      </w:r>
      <w:bookmarkStart w:id="1" w:name="REF0"/>
      <w:bookmarkEnd w:id="1"/>
      <w:r w:rsidRPr="00BD3FDE">
        <w:rPr>
          <w:bCs/>
          <w:sz w:val="28"/>
          <w:szCs w:val="28"/>
        </w:rPr>
        <w:t xml:space="preserve"> art. 108 din </w:t>
      </w:r>
      <w:r w:rsidR="00343688" w:rsidRPr="00BD3FDE">
        <w:rPr>
          <w:bCs/>
          <w:sz w:val="28"/>
          <w:szCs w:val="28"/>
        </w:rPr>
        <w:t>Constituția</w:t>
      </w:r>
      <w:r w:rsidRPr="00BD3FDE">
        <w:rPr>
          <w:bCs/>
          <w:sz w:val="28"/>
          <w:szCs w:val="28"/>
        </w:rPr>
        <w:t xml:space="preserve"> României, republicată, şi al</w:t>
      </w:r>
      <w:bookmarkStart w:id="2" w:name="REF1"/>
      <w:bookmarkEnd w:id="2"/>
      <w:r w:rsidRPr="00BD3FDE">
        <w:rPr>
          <w:bCs/>
          <w:sz w:val="28"/>
          <w:szCs w:val="28"/>
        </w:rPr>
        <w:t xml:space="preserve"> art. 16 alin. (10</w:t>
      </w:r>
      <w:r w:rsidRPr="00BD3FDE">
        <w:rPr>
          <w:bCs/>
          <w:sz w:val="28"/>
          <w:szCs w:val="28"/>
          <w:vertAlign w:val="superscript"/>
        </w:rPr>
        <w:t>5</w:t>
      </w:r>
      <w:r w:rsidRPr="00BD3FDE">
        <w:rPr>
          <w:bCs/>
          <w:sz w:val="28"/>
          <w:szCs w:val="28"/>
        </w:rPr>
        <w:t>) din Legea-cadru nr. 153/2017 privind salarizarea personalului plătit din fonduri publice, cu modificările şi completările ulterioare,</w:t>
      </w:r>
    </w:p>
    <w:p w14:paraId="17205C34" w14:textId="77777777" w:rsidR="005E17A9" w:rsidRDefault="005E17A9" w:rsidP="00F70514">
      <w:pPr>
        <w:rPr>
          <w:bCs/>
          <w:sz w:val="28"/>
          <w:szCs w:val="28"/>
        </w:rPr>
      </w:pPr>
    </w:p>
    <w:p w14:paraId="2D829059" w14:textId="75ECC3CC" w:rsidR="00F70514" w:rsidRPr="00BD3FDE" w:rsidRDefault="00C36216" w:rsidP="00F70514">
      <w:pPr>
        <w:rPr>
          <w:bCs/>
          <w:sz w:val="28"/>
          <w:szCs w:val="28"/>
        </w:rPr>
      </w:pPr>
      <w:r w:rsidRPr="00BD3FDE">
        <w:rPr>
          <w:bCs/>
          <w:sz w:val="28"/>
          <w:szCs w:val="28"/>
        </w:rPr>
        <w:br/>
      </w:r>
      <w:r w:rsidRPr="00BD3FDE">
        <w:rPr>
          <w:bCs/>
          <w:sz w:val="28"/>
          <w:szCs w:val="28"/>
        </w:rPr>
        <w:t> </w:t>
      </w:r>
      <w:r w:rsidRPr="00BD3FDE">
        <w:rPr>
          <w:bCs/>
          <w:sz w:val="28"/>
          <w:szCs w:val="28"/>
        </w:rPr>
        <w:t> </w:t>
      </w:r>
      <w:r w:rsidRPr="00BD3FDE">
        <w:rPr>
          <w:b/>
          <w:sz w:val="28"/>
          <w:szCs w:val="28"/>
        </w:rPr>
        <w:t>Guvernul României</w:t>
      </w:r>
      <w:r w:rsidRPr="00BD3FDE">
        <w:rPr>
          <w:bCs/>
          <w:sz w:val="28"/>
          <w:szCs w:val="28"/>
        </w:rPr>
        <w:t xml:space="preserve"> adoptă prezenta hotărâre.</w:t>
      </w:r>
    </w:p>
    <w:p w14:paraId="41EE6D65" w14:textId="77777777" w:rsidR="00F70514" w:rsidRPr="00BD3FDE" w:rsidRDefault="00F70514" w:rsidP="000C5C88">
      <w:pPr>
        <w:spacing w:after="120"/>
        <w:rPr>
          <w:sz w:val="28"/>
          <w:szCs w:val="28"/>
        </w:rPr>
      </w:pPr>
    </w:p>
    <w:p w14:paraId="7183690E" w14:textId="06BDFE5C" w:rsidR="003B7F5A" w:rsidRPr="00BD3FDE" w:rsidRDefault="001D420A" w:rsidP="000C5C88">
      <w:pPr>
        <w:pStyle w:val="NormalWeb"/>
        <w:spacing w:before="0" w:beforeAutospacing="0" w:after="120" w:afterAutospacing="0"/>
        <w:ind w:left="-270" w:firstLine="630"/>
        <w:jc w:val="both"/>
        <w:rPr>
          <w:rFonts w:ascii="Trebuchet MS" w:hAnsi="Trebuchet MS"/>
          <w:sz w:val="28"/>
          <w:szCs w:val="28"/>
          <w:lang w:val="ro-RO"/>
        </w:rPr>
      </w:pPr>
      <w:r w:rsidRPr="00BD3FDE">
        <w:rPr>
          <w:rFonts w:ascii="Trebuchet MS" w:hAnsi="Trebuchet MS"/>
          <w:b/>
          <w:sz w:val="28"/>
          <w:szCs w:val="28"/>
          <w:lang w:val="ro-RO"/>
        </w:rPr>
        <w:t>ART</w:t>
      </w:r>
      <w:r w:rsidR="00E8163C">
        <w:rPr>
          <w:rFonts w:ascii="Trebuchet MS" w:hAnsi="Trebuchet MS"/>
          <w:b/>
          <w:sz w:val="28"/>
          <w:szCs w:val="28"/>
          <w:lang w:val="ro-RO"/>
        </w:rPr>
        <w:t xml:space="preserve">. I </w:t>
      </w:r>
      <w:r w:rsidR="00E53B41" w:rsidRPr="00BD3FDE">
        <w:rPr>
          <w:rFonts w:ascii="Trebuchet MS" w:hAnsi="Trebuchet MS"/>
          <w:b/>
          <w:sz w:val="28"/>
          <w:szCs w:val="28"/>
          <w:lang w:val="ro-RO"/>
        </w:rPr>
        <w:t>-</w:t>
      </w:r>
      <w:r w:rsidR="00BD3FDE" w:rsidRPr="00BD3FDE">
        <w:rPr>
          <w:rFonts w:ascii="Trebuchet MS" w:hAnsi="Trebuchet MS"/>
          <w:sz w:val="28"/>
          <w:szCs w:val="28"/>
          <w:lang w:val="ro-RO"/>
        </w:rPr>
        <w:t xml:space="preserve"> </w:t>
      </w:r>
      <w:r w:rsidR="00BD3FDE" w:rsidRPr="00BD3FDE">
        <w:rPr>
          <w:rFonts w:ascii="Trebuchet MS" w:eastAsiaTheme="majorEastAsia" w:hAnsi="Trebuchet MS" w:cstheme="minorHAnsi"/>
          <w:bCs/>
          <w:noProof/>
          <w:sz w:val="28"/>
          <w:szCs w:val="28"/>
        </w:rPr>
        <w:t>Regulamentul-cadru privind criteriile pe baza cărora se stabileşte procentul de majorare salarială pentru persoanele prevăzute la art. 16 alin. (1) şi (2) din Legea-cadru nr. 153/2017 privind salarizarea personalului plătit din fonduri publice, precum şi condiţiile de înfiinţare a posturilor în afara organigramei în cadrul instituţiilor şi/sau autorităţilor publice care implementează proiecte finanţate din fonduri europene nerambursabile şi/sau prin Mecanismul de redresare şi rezilienţă</w:t>
      </w:r>
      <w:r w:rsidR="00A771F6" w:rsidRPr="00BD3FDE">
        <w:rPr>
          <w:rFonts w:ascii="Trebuchet MS" w:hAnsi="Trebuchet MS"/>
          <w:bCs/>
          <w:sz w:val="28"/>
          <w:szCs w:val="28"/>
          <w:lang w:val="ro-RO"/>
        </w:rPr>
        <w:t>,</w:t>
      </w:r>
      <w:r w:rsidR="003B7F5A" w:rsidRPr="00BD3FDE">
        <w:rPr>
          <w:rFonts w:ascii="Trebuchet MS" w:hAnsi="Trebuchet MS"/>
          <w:sz w:val="28"/>
          <w:szCs w:val="28"/>
          <w:lang w:val="ro-RO"/>
        </w:rPr>
        <w:t xml:space="preserve"> </w:t>
      </w:r>
      <w:r w:rsidR="00BD3FDE">
        <w:rPr>
          <w:rFonts w:ascii="Trebuchet MS" w:hAnsi="Trebuchet MS"/>
          <w:sz w:val="28"/>
          <w:szCs w:val="28"/>
          <w:lang w:val="ro-RO"/>
        </w:rPr>
        <w:t xml:space="preserve">aprobat prin </w:t>
      </w:r>
      <w:r w:rsidR="00BD3FDE" w:rsidRPr="00BD3FDE">
        <w:rPr>
          <w:rFonts w:ascii="Trebuchet MS" w:eastAsiaTheme="majorEastAsia" w:hAnsi="Trebuchet MS" w:cstheme="minorHAnsi"/>
          <w:bCs/>
          <w:noProof/>
          <w:sz w:val="28"/>
          <w:szCs w:val="28"/>
        </w:rPr>
        <w:t>Hotărârea Guvernului nr. 234/2023</w:t>
      </w:r>
      <w:r w:rsidR="00BD3FDE">
        <w:rPr>
          <w:rFonts w:ascii="Trebuchet MS" w:eastAsiaTheme="majorEastAsia" w:hAnsi="Trebuchet MS" w:cstheme="minorHAnsi"/>
          <w:bCs/>
          <w:noProof/>
          <w:sz w:val="28"/>
          <w:szCs w:val="28"/>
        </w:rPr>
        <w:t xml:space="preserve">, publicată în Monitorul Oficial al României, Partea I, nr. </w:t>
      </w:r>
      <w:r w:rsidR="00BD3FDE" w:rsidRPr="00BD3FDE">
        <w:rPr>
          <w:rFonts w:ascii="Trebuchet MS" w:eastAsiaTheme="majorEastAsia" w:hAnsi="Trebuchet MS" w:cstheme="minorHAnsi"/>
          <w:noProof/>
          <w:sz w:val="28"/>
          <w:szCs w:val="28"/>
          <w:lang w:val="ro-RO"/>
        </w:rPr>
        <w:t>219 din 16 martie 2023</w:t>
      </w:r>
      <w:r w:rsidR="00BD3FDE">
        <w:rPr>
          <w:rFonts w:ascii="Trebuchet MS" w:eastAsiaTheme="majorEastAsia" w:hAnsi="Trebuchet MS" w:cstheme="minorHAnsi"/>
          <w:noProof/>
          <w:sz w:val="28"/>
          <w:szCs w:val="28"/>
          <w:lang w:val="ro-RO"/>
        </w:rPr>
        <w:t>,</w:t>
      </w:r>
      <w:r w:rsidR="00427FC5">
        <w:rPr>
          <w:rFonts w:ascii="Trebuchet MS" w:eastAsiaTheme="majorEastAsia" w:hAnsi="Trebuchet MS" w:cstheme="minorHAnsi"/>
          <w:noProof/>
          <w:sz w:val="28"/>
          <w:szCs w:val="28"/>
          <w:lang w:val="ro-RO"/>
        </w:rPr>
        <w:t xml:space="preserve"> se modifică și</w:t>
      </w:r>
      <w:r w:rsidR="00BD3FDE">
        <w:rPr>
          <w:rFonts w:ascii="Trebuchet MS" w:eastAsiaTheme="majorEastAsia" w:hAnsi="Trebuchet MS" w:cstheme="minorHAnsi"/>
          <w:b/>
          <w:noProof/>
          <w:sz w:val="28"/>
          <w:szCs w:val="28"/>
        </w:rPr>
        <w:t xml:space="preserve"> </w:t>
      </w:r>
      <w:r w:rsidR="003B7F5A" w:rsidRPr="00BD3FDE">
        <w:rPr>
          <w:rFonts w:ascii="Trebuchet MS" w:hAnsi="Trebuchet MS"/>
          <w:sz w:val="28"/>
          <w:szCs w:val="28"/>
          <w:lang w:val="ro-RO"/>
        </w:rPr>
        <w:t>se completează după cum urmează:</w:t>
      </w:r>
    </w:p>
    <w:p w14:paraId="5A29CAE2" w14:textId="2EDFCAF3" w:rsidR="00343688" w:rsidRDefault="00343688" w:rsidP="000C5C88">
      <w:pPr>
        <w:pStyle w:val="ListParagraph"/>
        <w:numPr>
          <w:ilvl w:val="0"/>
          <w:numId w:val="3"/>
        </w:numPr>
        <w:spacing w:after="120"/>
        <w:ind w:left="-284" w:firstLine="644"/>
        <w:contextualSpacing w:val="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La articolul 4, alineatul (1) se modifică și va avea următorul cuprins:</w:t>
      </w:r>
    </w:p>
    <w:p w14:paraId="040F8ACE" w14:textId="453F403C" w:rsidR="00343688" w:rsidRPr="000C5C88" w:rsidRDefault="00343688" w:rsidP="00732796">
      <w:pPr>
        <w:pStyle w:val="NormalWeb"/>
        <w:spacing w:before="0" w:beforeAutospacing="0" w:after="120" w:afterAutospacing="0"/>
        <w:ind w:left="-284" w:firstLine="360"/>
        <w:jc w:val="both"/>
        <w:rPr>
          <w:rFonts w:ascii="Trebuchet MS" w:hAnsi="Trebuchet MS" w:cs="Arial"/>
          <w:i/>
          <w:color w:val="000000" w:themeColor="text1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„Art. 4 - </w:t>
      </w:r>
      <w:r w:rsidRPr="00A67B84">
        <w:rPr>
          <w:rFonts w:ascii="Trebuchet MS" w:hAnsi="Trebuchet MS"/>
          <w:sz w:val="28"/>
          <w:szCs w:val="28"/>
        </w:rPr>
        <w:t xml:space="preserve">(1) Personalul din cadrul instituţiei şi/sau autorităţii publice, nominalizat, potrivit prevederilor art. 16 alin. (1) din Legea-cadru nr. 153/2017 privind salarizarea personalului plătit din fonduri publice, cu modificările şi completările ulterioare, în echipele de proiecte finanţate din fonduri europene nerambursabile şi/sau fonduri externe rambursabile, precum şi pentru implementarea proiectelor finanţate prin Mecanismul de redresare şi rezilienţă, pe perioada în care îşi desfăşoară activitatea în aceste condiţii, beneficiază </w:t>
      </w:r>
      <w:r w:rsidR="003851F3">
        <w:rPr>
          <w:rFonts w:ascii="Trebuchet MS" w:hAnsi="Trebuchet MS"/>
          <w:sz w:val="28"/>
          <w:szCs w:val="28"/>
        </w:rPr>
        <w:t xml:space="preserve">lunar </w:t>
      </w:r>
      <w:r w:rsidRPr="00A67B84">
        <w:rPr>
          <w:rFonts w:ascii="Trebuchet MS" w:hAnsi="Trebuchet MS"/>
          <w:sz w:val="28"/>
          <w:szCs w:val="28"/>
        </w:rPr>
        <w:t xml:space="preserve">de o majorare a salariilor de bază, soldelor de </w:t>
      </w:r>
      <w:r w:rsidRPr="00A67B84">
        <w:rPr>
          <w:rFonts w:ascii="Trebuchet MS" w:hAnsi="Trebuchet MS"/>
          <w:sz w:val="28"/>
          <w:szCs w:val="28"/>
        </w:rPr>
        <w:lastRenderedPageBreak/>
        <w:t xml:space="preserve">funcţie/salariilor de funcţie, indemnizaţiilor de încadrare, cu până la </w:t>
      </w:r>
      <w:r w:rsidR="000B3D82">
        <w:rPr>
          <w:rFonts w:ascii="Trebuchet MS" w:hAnsi="Trebuchet MS"/>
          <w:sz w:val="28"/>
          <w:szCs w:val="28"/>
        </w:rPr>
        <w:t>4</w:t>
      </w:r>
      <w:r w:rsidRPr="00A67B84">
        <w:rPr>
          <w:rFonts w:ascii="Trebuchet MS" w:hAnsi="Trebuchet MS"/>
          <w:sz w:val="28"/>
          <w:szCs w:val="28"/>
        </w:rPr>
        <w:t xml:space="preserve">0%, în </w:t>
      </w:r>
      <w:r w:rsidRPr="00F2363E">
        <w:rPr>
          <w:rFonts w:ascii="Trebuchet MS" w:hAnsi="Trebuchet MS"/>
          <w:sz w:val="28"/>
          <w:szCs w:val="28"/>
        </w:rPr>
        <w:t xml:space="preserve">funcţie de timpul efectiv lucrat </w:t>
      </w:r>
      <w:r w:rsidRPr="00343688">
        <w:rPr>
          <w:rFonts w:ascii="Trebuchet MS" w:hAnsi="Trebuchet MS"/>
          <w:color w:val="000000" w:themeColor="text1"/>
          <w:sz w:val="28"/>
          <w:szCs w:val="28"/>
        </w:rPr>
        <w:t>lunar</w:t>
      </w:r>
      <w:r w:rsidR="004C28D3" w:rsidRPr="004C28D3">
        <w:rPr>
          <w:rFonts w:ascii="Trebuchet MS" w:hAnsi="Trebuchet MS"/>
          <w:sz w:val="28"/>
          <w:szCs w:val="28"/>
        </w:rPr>
        <w:t xml:space="preserve"> </w:t>
      </w:r>
      <w:r w:rsidR="004C28D3" w:rsidRPr="00A67B84">
        <w:rPr>
          <w:rFonts w:ascii="Trebuchet MS" w:hAnsi="Trebuchet MS"/>
          <w:sz w:val="28"/>
          <w:szCs w:val="28"/>
        </w:rPr>
        <w:t>pentru activităţile proiectului</w:t>
      </w:r>
      <w:r w:rsidRPr="00343688">
        <w:rPr>
          <w:rFonts w:ascii="Trebuchet MS" w:hAnsi="Trebuchet MS"/>
          <w:color w:val="000000" w:themeColor="text1"/>
          <w:sz w:val="28"/>
          <w:szCs w:val="28"/>
        </w:rPr>
        <w:t xml:space="preserve"> și valoarea</w:t>
      </w:r>
      <w:r w:rsidR="003851F3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r w:rsidRPr="00343688">
        <w:rPr>
          <w:rFonts w:ascii="Trebuchet MS" w:hAnsi="Trebuchet MS"/>
          <w:color w:val="000000" w:themeColor="text1"/>
          <w:sz w:val="28"/>
          <w:szCs w:val="28"/>
        </w:rPr>
        <w:t>proiectului, potrivit anexei</w:t>
      </w:r>
      <w:r w:rsidR="001B56E4">
        <w:rPr>
          <w:rFonts w:ascii="Trebuchet MS" w:hAnsi="Trebuchet MS"/>
          <w:color w:val="000000" w:themeColor="text1"/>
          <w:sz w:val="28"/>
          <w:szCs w:val="28"/>
        </w:rPr>
        <w:t xml:space="preserve"> nr. 1</w:t>
      </w:r>
      <w:r w:rsidR="00FC414F">
        <w:rPr>
          <w:rFonts w:ascii="Trebuchet MS" w:hAnsi="Trebuchet MS"/>
          <w:color w:val="000000" w:themeColor="text1"/>
          <w:sz w:val="28"/>
          <w:szCs w:val="28"/>
        </w:rPr>
        <w:t>, care face parte integrantă din</w:t>
      </w:r>
      <w:r w:rsidRPr="00343688">
        <w:rPr>
          <w:rFonts w:ascii="Trebuchet MS" w:hAnsi="Trebuchet MS"/>
          <w:color w:val="000000" w:themeColor="text1"/>
          <w:sz w:val="28"/>
          <w:szCs w:val="28"/>
        </w:rPr>
        <w:t xml:space="preserve"> prezent</w:t>
      </w:r>
      <w:r w:rsidR="001B56E4">
        <w:rPr>
          <w:rFonts w:ascii="Trebuchet MS" w:hAnsi="Trebuchet MS"/>
          <w:color w:val="000000" w:themeColor="text1"/>
          <w:sz w:val="28"/>
          <w:szCs w:val="28"/>
        </w:rPr>
        <w:t>ul regulament-cadru</w:t>
      </w:r>
      <w:r w:rsidRPr="00343688">
        <w:rPr>
          <w:rFonts w:ascii="Trebuchet MS" w:hAnsi="Trebuchet MS"/>
          <w:color w:val="000000" w:themeColor="text1"/>
          <w:sz w:val="28"/>
          <w:szCs w:val="28"/>
        </w:rPr>
        <w:t>.</w:t>
      </w:r>
      <w:r>
        <w:rPr>
          <w:rFonts w:ascii="Trebuchet MS" w:hAnsi="Trebuchet MS"/>
          <w:color w:val="000000" w:themeColor="text1"/>
          <w:sz w:val="28"/>
          <w:szCs w:val="28"/>
        </w:rPr>
        <w:t>”</w:t>
      </w:r>
    </w:p>
    <w:p w14:paraId="11A31BAF" w14:textId="7AA9F16A" w:rsidR="003B7F5A" w:rsidRPr="00BD3FDE" w:rsidRDefault="003B7F5A" w:rsidP="00732796">
      <w:pPr>
        <w:pStyle w:val="ListParagraph"/>
        <w:numPr>
          <w:ilvl w:val="0"/>
          <w:numId w:val="3"/>
        </w:numPr>
        <w:spacing w:after="120"/>
        <w:ind w:left="-284" w:firstLine="644"/>
        <w:contextualSpacing w:val="0"/>
        <w:rPr>
          <w:rFonts w:eastAsiaTheme="minorEastAsia" w:cs="Times New Roman"/>
          <w:sz w:val="28"/>
          <w:szCs w:val="28"/>
        </w:rPr>
      </w:pPr>
      <w:r w:rsidRPr="00BD3FDE">
        <w:rPr>
          <w:sz w:val="28"/>
          <w:szCs w:val="28"/>
        </w:rPr>
        <w:t xml:space="preserve">La articolul </w:t>
      </w:r>
      <w:r w:rsidR="00BD3FDE">
        <w:rPr>
          <w:sz w:val="28"/>
          <w:szCs w:val="28"/>
        </w:rPr>
        <w:t>4</w:t>
      </w:r>
      <w:r w:rsidRPr="00BD3FDE">
        <w:rPr>
          <w:sz w:val="28"/>
          <w:szCs w:val="28"/>
        </w:rPr>
        <w:t xml:space="preserve">, </w:t>
      </w:r>
      <w:r w:rsidR="00BD3FDE">
        <w:rPr>
          <w:sz w:val="28"/>
          <w:szCs w:val="28"/>
        </w:rPr>
        <w:t xml:space="preserve">după </w:t>
      </w:r>
      <w:r w:rsidRPr="00BD3FDE">
        <w:rPr>
          <w:rFonts w:eastAsiaTheme="minorEastAsia" w:cs="Times New Roman"/>
          <w:sz w:val="28"/>
          <w:szCs w:val="28"/>
        </w:rPr>
        <w:t>alineatul (</w:t>
      </w:r>
      <w:r w:rsidR="00BD3FDE">
        <w:rPr>
          <w:rFonts w:eastAsiaTheme="minorEastAsia" w:cs="Times New Roman"/>
          <w:sz w:val="28"/>
          <w:szCs w:val="28"/>
        </w:rPr>
        <w:t>1</w:t>
      </w:r>
      <w:r w:rsidRPr="00BD3FDE">
        <w:rPr>
          <w:rFonts w:eastAsiaTheme="minorEastAsia" w:cs="Times New Roman"/>
          <w:sz w:val="28"/>
          <w:szCs w:val="28"/>
        </w:rPr>
        <w:t xml:space="preserve">) </w:t>
      </w:r>
      <w:r w:rsidR="00BD3FDE">
        <w:rPr>
          <w:rFonts w:eastAsiaTheme="minorEastAsia" w:cs="Times New Roman"/>
          <w:sz w:val="28"/>
          <w:szCs w:val="28"/>
        </w:rPr>
        <w:t xml:space="preserve">se introduc </w:t>
      </w:r>
      <w:r w:rsidR="00644A6E">
        <w:rPr>
          <w:rFonts w:eastAsiaTheme="minorEastAsia" w:cs="Times New Roman"/>
          <w:sz w:val="28"/>
          <w:szCs w:val="28"/>
        </w:rPr>
        <w:t>trei</w:t>
      </w:r>
      <w:r w:rsidR="00BD3FDE">
        <w:rPr>
          <w:rFonts w:eastAsiaTheme="minorEastAsia" w:cs="Times New Roman"/>
          <w:sz w:val="28"/>
          <w:szCs w:val="28"/>
        </w:rPr>
        <w:t xml:space="preserve"> noi alineate, alin. (1</w:t>
      </w:r>
      <w:r w:rsidR="00BD3FDE">
        <w:rPr>
          <w:rFonts w:eastAsiaTheme="minorEastAsia" w:cs="Times New Roman"/>
          <w:sz w:val="28"/>
          <w:szCs w:val="28"/>
          <w:vertAlign w:val="superscript"/>
        </w:rPr>
        <w:t>1</w:t>
      </w:r>
      <w:r w:rsidR="00BD3FDE">
        <w:rPr>
          <w:rFonts w:eastAsiaTheme="minorEastAsia" w:cs="Times New Roman"/>
          <w:sz w:val="28"/>
          <w:szCs w:val="28"/>
        </w:rPr>
        <w:t>) - (1</w:t>
      </w:r>
      <w:r w:rsidR="00644A6E">
        <w:rPr>
          <w:rFonts w:eastAsiaTheme="minorEastAsia" w:cs="Times New Roman"/>
          <w:sz w:val="28"/>
          <w:szCs w:val="28"/>
          <w:vertAlign w:val="superscript"/>
        </w:rPr>
        <w:t>3</w:t>
      </w:r>
      <w:r w:rsidR="00BD3FDE">
        <w:rPr>
          <w:rFonts w:eastAsiaTheme="minorEastAsia" w:cs="Times New Roman"/>
          <w:sz w:val="28"/>
          <w:szCs w:val="28"/>
        </w:rPr>
        <w:t xml:space="preserve">), cu </w:t>
      </w:r>
      <w:r w:rsidRPr="00BD3FDE">
        <w:rPr>
          <w:rFonts w:eastAsiaTheme="minorEastAsia" w:cs="Times New Roman"/>
          <w:sz w:val="28"/>
          <w:szCs w:val="28"/>
        </w:rPr>
        <w:t>următorul cuprins:</w:t>
      </w:r>
    </w:p>
    <w:p w14:paraId="7681A6D3" w14:textId="7D457C23" w:rsidR="00BD3FDE" w:rsidRPr="00732796" w:rsidRDefault="003B7F5A" w:rsidP="00732796">
      <w:pPr>
        <w:autoSpaceDE w:val="0"/>
        <w:autoSpaceDN w:val="0"/>
        <w:adjustRightInd w:val="0"/>
        <w:spacing w:after="120"/>
        <w:ind w:left="-284" w:firstLine="284"/>
        <w:rPr>
          <w:sz w:val="28"/>
          <w:szCs w:val="28"/>
        </w:rPr>
      </w:pPr>
      <w:r w:rsidRPr="00BD3FDE">
        <w:rPr>
          <w:rFonts w:eastAsiaTheme="majorEastAsia" w:cstheme="minorHAnsi"/>
          <w:bCs/>
          <w:noProof/>
          <w:sz w:val="28"/>
          <w:szCs w:val="28"/>
          <w:lang w:val="en-US"/>
        </w:rPr>
        <w:t>„</w:t>
      </w:r>
      <w:r w:rsidR="00BD3FDE" w:rsidRPr="00BD3FDE">
        <w:rPr>
          <w:rFonts w:eastAsiaTheme="majorEastAsia" w:cstheme="minorHAnsi"/>
          <w:bCs/>
          <w:noProof/>
          <w:sz w:val="28"/>
          <w:szCs w:val="28"/>
          <w:lang w:val="en-US"/>
        </w:rPr>
        <w:t>(1</w:t>
      </w:r>
      <w:r w:rsidR="00BD3FDE" w:rsidRPr="00BD3FDE">
        <w:rPr>
          <w:rFonts w:eastAsiaTheme="majorEastAsia" w:cstheme="minorHAnsi"/>
          <w:bCs/>
          <w:noProof/>
          <w:sz w:val="28"/>
          <w:szCs w:val="28"/>
          <w:vertAlign w:val="superscript"/>
          <w:lang w:val="en-US"/>
        </w:rPr>
        <w:t>1</w:t>
      </w:r>
      <w:r w:rsidR="00BD3FDE" w:rsidRPr="00732796">
        <w:rPr>
          <w:rFonts w:eastAsiaTheme="majorEastAsia" w:cstheme="minorHAnsi"/>
          <w:bCs/>
          <w:noProof/>
          <w:sz w:val="28"/>
          <w:szCs w:val="28"/>
          <w:lang w:val="en-US"/>
        </w:rPr>
        <w:t xml:space="preserve">) </w:t>
      </w:r>
      <w:r w:rsidR="00732796" w:rsidRPr="00732796">
        <w:rPr>
          <w:bCs/>
          <w:sz w:val="28"/>
          <w:szCs w:val="28"/>
        </w:rPr>
        <w:t>M</w:t>
      </w:r>
      <w:r w:rsidR="00732796" w:rsidRPr="00732796">
        <w:rPr>
          <w:sz w:val="28"/>
          <w:szCs w:val="28"/>
        </w:rPr>
        <w:t>ajorarea salariilor de bază, soldelor de funcţie/salariilor de funcţie, indemnizaţiilor de încadrare, se realizează potrivit alin. (1) în baza</w:t>
      </w:r>
      <w:r w:rsidR="00351653">
        <w:rPr>
          <w:sz w:val="28"/>
          <w:szCs w:val="28"/>
        </w:rPr>
        <w:t xml:space="preserve"> raportului de progres trimestrial</w:t>
      </w:r>
      <w:r w:rsidR="00732796" w:rsidRPr="00732796">
        <w:rPr>
          <w:sz w:val="28"/>
          <w:szCs w:val="28"/>
        </w:rPr>
        <w:t xml:space="preserve">, întocmit în primele 5 zile ale fiecărui trimestru de către coordonatorul de proiect/managerul de proiect/șeful de proiect și aprobat de către </w:t>
      </w:r>
      <w:r w:rsidR="00351653">
        <w:rPr>
          <w:sz w:val="28"/>
          <w:szCs w:val="28"/>
        </w:rPr>
        <w:t>ordonatorul de credite</w:t>
      </w:r>
      <w:r w:rsidR="00732796" w:rsidRPr="00732796">
        <w:rPr>
          <w:sz w:val="28"/>
          <w:szCs w:val="28"/>
        </w:rPr>
        <w:t xml:space="preserve">, din care să rezulte progresul înregistrat în raport cu activitățile și indicatorii proiectului în trimestrul de referință. </w:t>
      </w:r>
    </w:p>
    <w:p w14:paraId="3C47DE72" w14:textId="0DC73FD1" w:rsidR="00644A6E" w:rsidRPr="00644A6E" w:rsidRDefault="00732796" w:rsidP="00644A6E">
      <w:pPr>
        <w:autoSpaceDE w:val="0"/>
        <w:autoSpaceDN w:val="0"/>
        <w:adjustRightInd w:val="0"/>
        <w:spacing w:after="120"/>
        <w:ind w:left="-284" w:firstLine="284"/>
        <w:rPr>
          <w:rFonts w:eastAsiaTheme="majorEastAsia" w:cstheme="minorHAnsi"/>
          <w:bCs/>
          <w:noProof/>
          <w:sz w:val="28"/>
          <w:szCs w:val="28"/>
          <w:lang w:val="es-ES"/>
        </w:rPr>
      </w:pPr>
      <w:r w:rsidRPr="00732796">
        <w:rPr>
          <w:sz w:val="28"/>
          <w:szCs w:val="28"/>
        </w:rPr>
        <w:t>(1</w:t>
      </w:r>
      <w:r w:rsidRPr="00732796">
        <w:rPr>
          <w:sz w:val="28"/>
          <w:szCs w:val="28"/>
          <w:vertAlign w:val="superscript"/>
        </w:rPr>
        <w:t>2</w:t>
      </w:r>
      <w:r w:rsidRPr="00732796">
        <w:rPr>
          <w:sz w:val="28"/>
          <w:szCs w:val="28"/>
        </w:rPr>
        <w:t>)</w:t>
      </w:r>
      <w:r w:rsidR="00644A6E">
        <w:rPr>
          <w:sz w:val="28"/>
          <w:szCs w:val="28"/>
        </w:rPr>
        <w:t xml:space="preserve"> </w:t>
      </w:r>
      <w:r w:rsidR="00644A6E" w:rsidRPr="00644A6E">
        <w:rPr>
          <w:rFonts w:eastAsiaTheme="majorEastAsia" w:cstheme="minorHAnsi"/>
          <w:bCs/>
          <w:noProof/>
          <w:sz w:val="28"/>
          <w:szCs w:val="28"/>
          <w:lang w:val="es-ES"/>
        </w:rPr>
        <w:t>Prin excepție de la prevederile alin. (1</w:t>
      </w:r>
      <w:r w:rsidR="00644A6E" w:rsidRPr="00644A6E">
        <w:rPr>
          <w:rFonts w:eastAsiaTheme="majorEastAsia" w:cstheme="minorHAnsi"/>
          <w:bCs/>
          <w:noProof/>
          <w:sz w:val="28"/>
          <w:szCs w:val="28"/>
          <w:vertAlign w:val="superscript"/>
          <w:lang w:val="es-ES"/>
        </w:rPr>
        <w:t>1</w:t>
      </w:r>
      <w:r w:rsidR="00644A6E" w:rsidRPr="00644A6E">
        <w:rPr>
          <w:rFonts w:eastAsiaTheme="majorEastAsia" w:cstheme="minorHAnsi"/>
          <w:bCs/>
          <w:noProof/>
          <w:sz w:val="28"/>
          <w:szCs w:val="28"/>
          <w:lang w:val="es-ES"/>
        </w:rPr>
        <w:t xml:space="preserve">), ultimul Raport de progres </w:t>
      </w:r>
      <w:r w:rsidR="00351653">
        <w:rPr>
          <w:rFonts w:eastAsiaTheme="majorEastAsia" w:cstheme="minorHAnsi"/>
          <w:bCs/>
          <w:noProof/>
          <w:sz w:val="28"/>
          <w:szCs w:val="28"/>
          <w:lang w:val="es-ES"/>
        </w:rPr>
        <w:t xml:space="preserve">trimestrial </w:t>
      </w:r>
      <w:r w:rsidR="00644A6E" w:rsidRPr="00644A6E">
        <w:rPr>
          <w:rFonts w:eastAsiaTheme="majorEastAsia" w:cstheme="minorHAnsi"/>
          <w:bCs/>
          <w:noProof/>
          <w:sz w:val="28"/>
          <w:szCs w:val="28"/>
          <w:lang w:val="es-ES"/>
        </w:rPr>
        <w:t>va cuprinde perioada de la penultimul raport de progres trimestrial până la finalizarea proiectului.</w:t>
      </w:r>
    </w:p>
    <w:p w14:paraId="3A7EDE9D" w14:textId="0D2A2A63" w:rsidR="00732796" w:rsidRPr="00732796" w:rsidRDefault="00644A6E" w:rsidP="00644A6E">
      <w:pPr>
        <w:autoSpaceDE w:val="0"/>
        <w:autoSpaceDN w:val="0"/>
        <w:adjustRightInd w:val="0"/>
        <w:spacing w:after="120"/>
        <w:ind w:left="-284" w:firstLine="284"/>
        <w:rPr>
          <w:sz w:val="28"/>
          <w:szCs w:val="28"/>
        </w:rPr>
      </w:pPr>
      <w:r w:rsidRPr="00732796">
        <w:rPr>
          <w:sz w:val="28"/>
          <w:szCs w:val="28"/>
        </w:rPr>
        <w:t>(1</w:t>
      </w:r>
      <w:r>
        <w:rPr>
          <w:sz w:val="28"/>
          <w:szCs w:val="28"/>
          <w:vertAlign w:val="superscript"/>
        </w:rPr>
        <w:t>3</w:t>
      </w:r>
      <w:r w:rsidRPr="00732796">
        <w:rPr>
          <w:sz w:val="28"/>
          <w:szCs w:val="28"/>
        </w:rPr>
        <w:t>)</w:t>
      </w:r>
      <w:r w:rsidR="00732796" w:rsidRPr="00732796">
        <w:rPr>
          <w:sz w:val="28"/>
          <w:szCs w:val="28"/>
        </w:rPr>
        <w:t xml:space="preserve"> Prin progrese înregistrate în implementarea proiectului în perioada de referință față de perioada anterioară, se înțelege realizarea a cel puțin unuia din următorii indicatori:</w:t>
      </w:r>
    </w:p>
    <w:p w14:paraId="302F01DB" w14:textId="77777777" w:rsidR="00732796" w:rsidRPr="00732796" w:rsidRDefault="00732796" w:rsidP="00732796">
      <w:pPr>
        <w:autoSpaceDE w:val="0"/>
        <w:autoSpaceDN w:val="0"/>
        <w:adjustRightInd w:val="0"/>
        <w:spacing w:after="120"/>
        <w:ind w:left="-284" w:firstLine="284"/>
        <w:rPr>
          <w:sz w:val="28"/>
          <w:szCs w:val="28"/>
        </w:rPr>
      </w:pPr>
      <w:r w:rsidRPr="00732796">
        <w:rPr>
          <w:sz w:val="28"/>
          <w:szCs w:val="28"/>
        </w:rPr>
        <w:t>a) a fost realizată o creștere a execuției documentate de cel puțin 5% pentru activitățile eligibile prevăzute în proiect, reprezentând studii, referate, cereri de plată/de rambursare, documentații pentru proiectare inclusiv obținerea de avize, acorduri sau autorizații, în funcție de complexitatea proiectului;</w:t>
      </w:r>
    </w:p>
    <w:p w14:paraId="07869C14" w14:textId="11373F69" w:rsidR="00732796" w:rsidRPr="00732796" w:rsidRDefault="00732796" w:rsidP="00732796">
      <w:pPr>
        <w:autoSpaceDE w:val="0"/>
        <w:autoSpaceDN w:val="0"/>
        <w:adjustRightInd w:val="0"/>
        <w:spacing w:after="120"/>
        <w:ind w:left="-284" w:firstLine="284"/>
        <w:rPr>
          <w:sz w:val="28"/>
          <w:szCs w:val="28"/>
        </w:rPr>
      </w:pPr>
      <w:r w:rsidRPr="00732796">
        <w:rPr>
          <w:sz w:val="28"/>
          <w:szCs w:val="28"/>
        </w:rPr>
        <w:t>b) a fost realizat un progres fizic de cel puțin 3%;</w:t>
      </w:r>
    </w:p>
    <w:p w14:paraId="521E6064" w14:textId="77777777" w:rsidR="00732796" w:rsidRPr="00732796" w:rsidRDefault="00732796" w:rsidP="00732796">
      <w:pPr>
        <w:autoSpaceDE w:val="0"/>
        <w:autoSpaceDN w:val="0"/>
        <w:adjustRightInd w:val="0"/>
        <w:spacing w:after="120"/>
        <w:ind w:left="-284" w:firstLine="284"/>
        <w:rPr>
          <w:sz w:val="28"/>
          <w:szCs w:val="28"/>
        </w:rPr>
      </w:pPr>
      <w:r w:rsidRPr="00732796">
        <w:rPr>
          <w:sz w:val="28"/>
          <w:szCs w:val="28"/>
        </w:rPr>
        <w:t>c) au fost derulate cel puțin 3% din activitățile eligibile prevăzute în proiect, în funcție de complexitatea proiectului;</w:t>
      </w:r>
    </w:p>
    <w:p w14:paraId="7264ADD9" w14:textId="77777777" w:rsidR="00732796" w:rsidRPr="00732796" w:rsidRDefault="00732796" w:rsidP="00732796">
      <w:pPr>
        <w:autoSpaceDE w:val="0"/>
        <w:autoSpaceDN w:val="0"/>
        <w:adjustRightInd w:val="0"/>
        <w:spacing w:after="120"/>
        <w:ind w:left="-284" w:firstLine="284"/>
        <w:rPr>
          <w:sz w:val="28"/>
          <w:szCs w:val="28"/>
        </w:rPr>
      </w:pPr>
      <w:r w:rsidRPr="00732796">
        <w:rPr>
          <w:sz w:val="28"/>
          <w:szCs w:val="28"/>
        </w:rPr>
        <w:t>d) au fost recepționate cel puțin 3% din bunurile/serviciile/lucrările prevăzute în proiect.</w:t>
      </w:r>
    </w:p>
    <w:p w14:paraId="485C487F" w14:textId="2DAE0227" w:rsidR="00732796" w:rsidRDefault="00343688" w:rsidP="00732796">
      <w:pPr>
        <w:spacing w:after="120"/>
        <w:ind w:left="-284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451BA" w:rsidRPr="00BD3FDE">
        <w:rPr>
          <w:bCs/>
          <w:sz w:val="28"/>
          <w:szCs w:val="28"/>
        </w:rPr>
        <w:t xml:space="preserve">. </w:t>
      </w:r>
      <w:r w:rsidR="00732796">
        <w:rPr>
          <w:rFonts w:eastAsiaTheme="minorEastAsia" w:cs="Times New Roman"/>
          <w:sz w:val="28"/>
          <w:szCs w:val="28"/>
        </w:rPr>
        <w:t>La articolul 4, alineatul (2) se modifică și va avea următorul cuprins:</w:t>
      </w:r>
    </w:p>
    <w:p w14:paraId="587F27E0" w14:textId="667ECA42" w:rsidR="00732796" w:rsidRDefault="00732796" w:rsidP="00732796">
      <w:pPr>
        <w:spacing w:after="120"/>
        <w:ind w:left="-284" w:firstLine="284"/>
        <w:rPr>
          <w:bCs/>
          <w:sz w:val="28"/>
          <w:szCs w:val="28"/>
        </w:rPr>
      </w:pPr>
      <w:r>
        <w:rPr>
          <w:sz w:val="28"/>
          <w:szCs w:val="28"/>
        </w:rPr>
        <w:t xml:space="preserve">„(2) </w:t>
      </w:r>
      <w:r w:rsidRPr="00A67B84">
        <w:rPr>
          <w:sz w:val="28"/>
          <w:szCs w:val="28"/>
        </w:rPr>
        <w:t>În primele 5 zile ale fiecărei luni calendaristice, conform pontajului lunar</w:t>
      </w:r>
      <w:r w:rsidR="00351653">
        <w:rPr>
          <w:sz w:val="28"/>
          <w:szCs w:val="28"/>
        </w:rPr>
        <w:t xml:space="preserve"> aprobat de ordonatorul de credite</w:t>
      </w:r>
      <w:r w:rsidRPr="00A67B84">
        <w:rPr>
          <w:sz w:val="28"/>
          <w:szCs w:val="28"/>
        </w:rPr>
        <w:t xml:space="preserve">, se stabilește numărul de ore efectiv lucrate în luna anterioară, </w:t>
      </w:r>
      <w:r w:rsidRPr="00732796">
        <w:rPr>
          <w:sz w:val="28"/>
          <w:szCs w:val="28"/>
        </w:rPr>
        <w:t xml:space="preserve">pentru calculul procentului </w:t>
      </w:r>
      <w:r w:rsidRPr="00A363C8">
        <w:rPr>
          <w:sz w:val="28"/>
          <w:szCs w:val="28"/>
        </w:rPr>
        <w:t>de majorare salarială</w:t>
      </w:r>
      <w:r w:rsidRPr="00A67B84">
        <w:rPr>
          <w:sz w:val="28"/>
          <w:szCs w:val="28"/>
        </w:rPr>
        <w:t xml:space="preserve"> acordat personalul</w:t>
      </w:r>
      <w:r>
        <w:rPr>
          <w:sz w:val="28"/>
          <w:szCs w:val="28"/>
        </w:rPr>
        <w:t>ui</w:t>
      </w:r>
      <w:r w:rsidRPr="00A67B84">
        <w:rPr>
          <w:sz w:val="28"/>
          <w:szCs w:val="28"/>
        </w:rPr>
        <w:t xml:space="preserve"> nominalizat în echipele de proiect, în condițiile art. 16 alin. (1) din Legea-cadru nr. 153/2017, cu modificările şi completările ulterioare.</w:t>
      </w:r>
      <w:r>
        <w:rPr>
          <w:sz w:val="28"/>
          <w:szCs w:val="28"/>
        </w:rPr>
        <w:t>”</w:t>
      </w:r>
    </w:p>
    <w:p w14:paraId="2A08E526" w14:textId="429901AD" w:rsidR="00E451BA" w:rsidRPr="00732796" w:rsidRDefault="00E451BA" w:rsidP="00732796">
      <w:pPr>
        <w:pStyle w:val="ListParagraph"/>
        <w:numPr>
          <w:ilvl w:val="0"/>
          <w:numId w:val="5"/>
        </w:numPr>
        <w:tabs>
          <w:tab w:val="left" w:pos="426"/>
        </w:tabs>
        <w:spacing w:after="120"/>
        <w:ind w:left="-284" w:firstLine="284"/>
        <w:rPr>
          <w:rFonts w:eastAsiaTheme="minorEastAsia" w:cs="Times New Roman"/>
          <w:bCs/>
          <w:sz w:val="28"/>
          <w:szCs w:val="28"/>
        </w:rPr>
      </w:pPr>
      <w:r w:rsidRPr="00732796">
        <w:rPr>
          <w:rFonts w:eastAsiaTheme="minorEastAsia" w:cs="Times New Roman"/>
          <w:bCs/>
          <w:sz w:val="28"/>
          <w:szCs w:val="28"/>
        </w:rPr>
        <w:t xml:space="preserve">La articolul </w:t>
      </w:r>
      <w:r w:rsidR="00BD3FDE" w:rsidRPr="00732796">
        <w:rPr>
          <w:rFonts w:eastAsiaTheme="minorEastAsia" w:cs="Times New Roman"/>
          <w:bCs/>
          <w:sz w:val="28"/>
          <w:szCs w:val="28"/>
        </w:rPr>
        <w:t xml:space="preserve">4, după alineatul 2 se introduc </w:t>
      </w:r>
      <w:r w:rsidR="00732796" w:rsidRPr="00732796">
        <w:rPr>
          <w:rFonts w:eastAsiaTheme="minorEastAsia" w:cs="Times New Roman"/>
          <w:bCs/>
          <w:sz w:val="28"/>
          <w:szCs w:val="28"/>
        </w:rPr>
        <w:t>două noi</w:t>
      </w:r>
      <w:r w:rsidR="00BD3FDE" w:rsidRPr="00732796">
        <w:rPr>
          <w:rFonts w:eastAsiaTheme="minorEastAsia" w:cs="Times New Roman"/>
          <w:bCs/>
          <w:sz w:val="28"/>
          <w:szCs w:val="28"/>
        </w:rPr>
        <w:t xml:space="preserve"> alineat</w:t>
      </w:r>
      <w:r w:rsidR="00732796" w:rsidRPr="00732796">
        <w:rPr>
          <w:rFonts w:eastAsiaTheme="minorEastAsia" w:cs="Times New Roman"/>
          <w:bCs/>
          <w:sz w:val="28"/>
          <w:szCs w:val="28"/>
        </w:rPr>
        <w:t>e</w:t>
      </w:r>
      <w:r w:rsidR="00BD3FDE" w:rsidRPr="00732796">
        <w:rPr>
          <w:rFonts w:eastAsiaTheme="minorEastAsia" w:cs="Times New Roman"/>
          <w:bCs/>
          <w:sz w:val="28"/>
          <w:szCs w:val="28"/>
        </w:rPr>
        <w:t>, alin. (2</w:t>
      </w:r>
      <w:r w:rsidR="00BD3FDE" w:rsidRPr="00732796">
        <w:rPr>
          <w:rFonts w:eastAsiaTheme="minorEastAsia" w:cs="Times New Roman"/>
          <w:bCs/>
          <w:sz w:val="28"/>
          <w:szCs w:val="28"/>
          <w:vertAlign w:val="superscript"/>
        </w:rPr>
        <w:t>1</w:t>
      </w:r>
      <w:r w:rsidR="00BD3FDE" w:rsidRPr="00732796">
        <w:rPr>
          <w:rFonts w:eastAsiaTheme="minorEastAsia" w:cs="Times New Roman"/>
          <w:bCs/>
          <w:sz w:val="28"/>
          <w:szCs w:val="28"/>
        </w:rPr>
        <w:t>)</w:t>
      </w:r>
      <w:r w:rsidR="00732796" w:rsidRPr="00732796">
        <w:rPr>
          <w:rFonts w:eastAsiaTheme="minorEastAsia" w:cs="Times New Roman"/>
          <w:bCs/>
          <w:sz w:val="28"/>
          <w:szCs w:val="28"/>
        </w:rPr>
        <w:t xml:space="preserve"> și (2</w:t>
      </w:r>
      <w:r w:rsidR="00732796" w:rsidRPr="00732796">
        <w:rPr>
          <w:rFonts w:eastAsiaTheme="minorEastAsia" w:cs="Times New Roman"/>
          <w:bCs/>
          <w:sz w:val="28"/>
          <w:szCs w:val="28"/>
          <w:vertAlign w:val="superscript"/>
        </w:rPr>
        <w:t>2</w:t>
      </w:r>
      <w:r w:rsidR="00732796" w:rsidRPr="00732796">
        <w:rPr>
          <w:rFonts w:eastAsiaTheme="minorEastAsia" w:cs="Times New Roman"/>
          <w:bCs/>
          <w:sz w:val="28"/>
          <w:szCs w:val="28"/>
        </w:rPr>
        <w:t>)</w:t>
      </w:r>
      <w:r w:rsidR="00BD3FDE" w:rsidRPr="00732796">
        <w:rPr>
          <w:rFonts w:eastAsiaTheme="minorEastAsia" w:cs="Times New Roman"/>
          <w:bCs/>
          <w:sz w:val="28"/>
          <w:szCs w:val="28"/>
        </w:rPr>
        <w:t>,</w:t>
      </w:r>
      <w:r w:rsidRPr="00732796">
        <w:rPr>
          <w:rFonts w:eastAsiaTheme="minorEastAsia" w:cs="Times New Roman"/>
          <w:bCs/>
          <w:sz w:val="28"/>
          <w:szCs w:val="28"/>
        </w:rPr>
        <w:t xml:space="preserve"> </w:t>
      </w:r>
      <w:r w:rsidR="00BD3FDE" w:rsidRPr="00732796">
        <w:rPr>
          <w:rFonts w:eastAsiaTheme="minorEastAsia" w:cs="Times New Roman"/>
          <w:bCs/>
          <w:sz w:val="28"/>
          <w:szCs w:val="28"/>
        </w:rPr>
        <w:t xml:space="preserve">cu </w:t>
      </w:r>
      <w:r w:rsidRPr="00732796">
        <w:rPr>
          <w:rFonts w:eastAsiaTheme="minorEastAsia" w:cs="Times New Roman"/>
          <w:bCs/>
          <w:sz w:val="28"/>
          <w:szCs w:val="28"/>
        </w:rPr>
        <w:t>următorul cuprins:</w:t>
      </w:r>
    </w:p>
    <w:p w14:paraId="7A4A4FF2" w14:textId="7848CA5A" w:rsidR="00BD3FDE" w:rsidRDefault="00E451BA" w:rsidP="000C5C88">
      <w:pPr>
        <w:autoSpaceDE w:val="0"/>
        <w:autoSpaceDN w:val="0"/>
        <w:adjustRightInd w:val="0"/>
        <w:spacing w:after="120"/>
        <w:ind w:left="-284" w:firstLine="284"/>
        <w:rPr>
          <w:bCs/>
          <w:sz w:val="28"/>
          <w:szCs w:val="28"/>
        </w:rPr>
      </w:pPr>
      <w:r w:rsidRPr="00BD3FDE">
        <w:rPr>
          <w:rFonts w:eastAsiaTheme="minorEastAsia" w:cs="Times New Roman"/>
          <w:bCs/>
          <w:sz w:val="28"/>
          <w:szCs w:val="28"/>
        </w:rPr>
        <w:t>„</w:t>
      </w:r>
      <w:r w:rsidR="00BD3FDE" w:rsidRPr="00BD3FDE">
        <w:rPr>
          <w:bCs/>
          <w:sz w:val="28"/>
          <w:szCs w:val="28"/>
        </w:rPr>
        <w:t>(2</w:t>
      </w:r>
      <w:r w:rsidR="00BD3FDE" w:rsidRPr="00BD3FDE">
        <w:rPr>
          <w:bCs/>
          <w:sz w:val="28"/>
          <w:szCs w:val="28"/>
          <w:vertAlign w:val="superscript"/>
        </w:rPr>
        <w:t>1</w:t>
      </w:r>
      <w:r w:rsidR="00BD3FDE" w:rsidRPr="00BD3FDE">
        <w:rPr>
          <w:bCs/>
          <w:sz w:val="28"/>
          <w:szCs w:val="28"/>
        </w:rPr>
        <w:t>)</w:t>
      </w:r>
      <w:r w:rsidR="00BD3FDE" w:rsidRPr="00BD3FDE">
        <w:rPr>
          <w:b/>
          <w:bCs/>
          <w:sz w:val="28"/>
          <w:szCs w:val="28"/>
        </w:rPr>
        <w:t xml:space="preserve"> </w:t>
      </w:r>
      <w:r w:rsidR="00BD3FDE" w:rsidRPr="00BD3FDE">
        <w:rPr>
          <w:bCs/>
          <w:sz w:val="28"/>
          <w:szCs w:val="28"/>
        </w:rPr>
        <w:t>Plata drepturilor stabilite potrivit alin. (1) - (1</w:t>
      </w:r>
      <w:r w:rsidR="00BD3FDE" w:rsidRPr="00BD3FDE">
        <w:rPr>
          <w:bCs/>
          <w:sz w:val="28"/>
          <w:szCs w:val="28"/>
          <w:vertAlign w:val="superscript"/>
        </w:rPr>
        <w:t>2</w:t>
      </w:r>
      <w:r w:rsidR="00BD3FDE" w:rsidRPr="00BD3FDE">
        <w:rPr>
          <w:bCs/>
          <w:sz w:val="28"/>
          <w:szCs w:val="28"/>
        </w:rPr>
        <w:t xml:space="preserve">) se acordă în următorul trimestru, lunar, corespunzător </w:t>
      </w:r>
      <w:r w:rsidR="00351653" w:rsidRPr="00644A6E">
        <w:rPr>
          <w:rFonts w:eastAsiaTheme="majorEastAsia" w:cstheme="minorHAnsi"/>
          <w:bCs/>
          <w:noProof/>
          <w:sz w:val="28"/>
          <w:szCs w:val="28"/>
          <w:lang w:val="es-ES"/>
        </w:rPr>
        <w:t>Raport</w:t>
      </w:r>
      <w:r w:rsidR="00351653">
        <w:rPr>
          <w:rFonts w:eastAsiaTheme="majorEastAsia" w:cstheme="minorHAnsi"/>
          <w:bCs/>
          <w:noProof/>
          <w:sz w:val="28"/>
          <w:szCs w:val="28"/>
          <w:lang w:val="es-ES"/>
        </w:rPr>
        <w:t>ului</w:t>
      </w:r>
      <w:r w:rsidR="00351653" w:rsidRPr="00644A6E">
        <w:rPr>
          <w:rFonts w:eastAsiaTheme="majorEastAsia" w:cstheme="minorHAnsi"/>
          <w:bCs/>
          <w:noProof/>
          <w:sz w:val="28"/>
          <w:szCs w:val="28"/>
          <w:lang w:val="es-ES"/>
        </w:rPr>
        <w:t xml:space="preserve"> de progres </w:t>
      </w:r>
      <w:r w:rsidR="00351653">
        <w:rPr>
          <w:rFonts w:eastAsiaTheme="majorEastAsia" w:cstheme="minorHAnsi"/>
          <w:bCs/>
          <w:noProof/>
          <w:sz w:val="28"/>
          <w:szCs w:val="28"/>
          <w:lang w:val="es-ES"/>
        </w:rPr>
        <w:t xml:space="preserve">trimestrial </w:t>
      </w:r>
      <w:r w:rsidR="00BD3FDE" w:rsidRPr="00BD3FDE">
        <w:rPr>
          <w:bCs/>
          <w:sz w:val="28"/>
          <w:szCs w:val="28"/>
        </w:rPr>
        <w:t>aferent trimestrului anterior.</w:t>
      </w:r>
    </w:p>
    <w:p w14:paraId="6FF35D7D" w14:textId="67F50A59" w:rsidR="00732796" w:rsidRDefault="00732796" w:rsidP="000C5C88">
      <w:pPr>
        <w:autoSpaceDE w:val="0"/>
        <w:autoSpaceDN w:val="0"/>
        <w:adjustRightInd w:val="0"/>
        <w:spacing w:after="120"/>
        <w:ind w:left="-284" w:firstLine="284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lastRenderedPageBreak/>
        <w:t>(2</w:t>
      </w:r>
      <w:r>
        <w:rPr>
          <w:bCs/>
          <w:sz w:val="28"/>
          <w:szCs w:val="28"/>
          <w:vertAlign w:val="superscript"/>
        </w:rPr>
        <w:t>2</w:t>
      </w:r>
      <w:r w:rsidRPr="0073279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La stabilirea valorii cumulate a proiectelor pentru care se acordă majorare salarială se va lua în considerare valoarea proiectelor aprobate prin contracte/ordine/decizii de finanțare, după caz, sau dacă este exprimată în euro, utilizând cursul de schimb comunicat de Banca Națională a României din ziua intrării în vigoare a acestora.”</w:t>
      </w:r>
    </w:p>
    <w:p w14:paraId="557D8825" w14:textId="3C418A42" w:rsidR="00732796" w:rsidRDefault="00732796" w:rsidP="000C5C88">
      <w:pPr>
        <w:autoSpaceDE w:val="0"/>
        <w:autoSpaceDN w:val="0"/>
        <w:adjustRightInd w:val="0"/>
        <w:spacing w:after="120"/>
        <w:ind w:left="-284"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Articolul 5 se modifică și va avea următorul cuprins:</w:t>
      </w:r>
    </w:p>
    <w:p w14:paraId="7A83AA37" w14:textId="43D5AE07" w:rsidR="00732796" w:rsidRDefault="00732796" w:rsidP="000C5C88">
      <w:pPr>
        <w:autoSpaceDE w:val="0"/>
        <w:autoSpaceDN w:val="0"/>
        <w:adjustRightInd w:val="0"/>
        <w:spacing w:after="120"/>
        <w:ind w:left="-284" w:firstLine="284"/>
      </w:pPr>
      <w:r w:rsidRPr="00732796">
        <w:rPr>
          <w:color w:val="000000" w:themeColor="text1"/>
          <w:sz w:val="28"/>
          <w:szCs w:val="28"/>
        </w:rPr>
        <w:t>„Art. 5</w:t>
      </w:r>
      <w:r>
        <w:rPr>
          <w:color w:val="000000" w:themeColor="text1"/>
          <w:sz w:val="28"/>
          <w:szCs w:val="28"/>
        </w:rPr>
        <w:t xml:space="preserve"> - </w:t>
      </w:r>
      <w:r w:rsidRPr="00A363C8">
        <w:rPr>
          <w:rFonts w:eastAsia="Calibri"/>
          <w:color w:val="000000" w:themeColor="text1"/>
          <w:sz w:val="28"/>
          <w:szCs w:val="28"/>
        </w:rPr>
        <w:t xml:space="preserve">Pentru personalul prevăzut la art. 4 care îşi desfăşoară activitatea simultan în mai multe proiecte, </w:t>
      </w:r>
      <w:r w:rsidRPr="00732796">
        <w:rPr>
          <w:rFonts w:eastAsia="Calibri"/>
          <w:sz w:val="28"/>
          <w:szCs w:val="28"/>
        </w:rPr>
        <w:t xml:space="preserve">pentru care există aprobat </w:t>
      </w:r>
      <w:r w:rsidR="00351653" w:rsidRPr="00644A6E">
        <w:rPr>
          <w:rFonts w:eastAsiaTheme="majorEastAsia" w:cstheme="minorHAnsi"/>
          <w:bCs/>
          <w:noProof/>
          <w:sz w:val="28"/>
          <w:szCs w:val="28"/>
          <w:lang w:val="es-ES"/>
        </w:rPr>
        <w:t xml:space="preserve">Raport de progres </w:t>
      </w:r>
      <w:r w:rsidR="00351653">
        <w:rPr>
          <w:rFonts w:eastAsiaTheme="majorEastAsia" w:cstheme="minorHAnsi"/>
          <w:bCs/>
          <w:noProof/>
          <w:sz w:val="28"/>
          <w:szCs w:val="28"/>
          <w:lang w:val="es-ES"/>
        </w:rPr>
        <w:t>trimestrial</w:t>
      </w:r>
      <w:r>
        <w:rPr>
          <w:sz w:val="28"/>
          <w:szCs w:val="28"/>
        </w:rPr>
        <w:t>,</w:t>
      </w:r>
      <w:r w:rsidRPr="00A57B97">
        <w:rPr>
          <w:bCs/>
          <w:sz w:val="28"/>
          <w:szCs w:val="28"/>
        </w:rPr>
        <w:t xml:space="preserve"> </w:t>
      </w:r>
      <w:r w:rsidRPr="00A363C8">
        <w:rPr>
          <w:rFonts w:eastAsia="Calibri"/>
          <w:color w:val="000000" w:themeColor="text1"/>
          <w:sz w:val="28"/>
          <w:szCs w:val="28"/>
        </w:rPr>
        <w:t>numărul de ore efectiv lucrate în luna anterioară se cumulează, procentul de majorare salarială fiind stabilit la nivelul corespunzător numărului de ore cumulate</w:t>
      </w:r>
      <w:r>
        <w:t>.”</w:t>
      </w:r>
    </w:p>
    <w:p w14:paraId="1D364260" w14:textId="39270539" w:rsidR="001B56E4" w:rsidRDefault="001B56E4" w:rsidP="000C5C88">
      <w:pPr>
        <w:autoSpaceDE w:val="0"/>
        <w:autoSpaceDN w:val="0"/>
        <w:adjustRightInd w:val="0"/>
        <w:spacing w:after="120"/>
        <w:ind w:left="-284" w:firstLine="284"/>
        <w:rPr>
          <w:sz w:val="28"/>
          <w:szCs w:val="28"/>
        </w:rPr>
      </w:pPr>
      <w:r w:rsidRPr="001B56E4">
        <w:rPr>
          <w:sz w:val="28"/>
          <w:szCs w:val="28"/>
        </w:rPr>
        <w:t xml:space="preserve">6. </w:t>
      </w:r>
      <w:r>
        <w:rPr>
          <w:sz w:val="28"/>
          <w:szCs w:val="28"/>
        </w:rPr>
        <w:t>La articolul 6, alineatele (1) și (3) se modifică și vor avea următorul cuprins:</w:t>
      </w:r>
    </w:p>
    <w:p w14:paraId="3F1CC6DB" w14:textId="214046C2" w:rsidR="001B56E4" w:rsidRPr="001B56E4" w:rsidRDefault="001B56E4" w:rsidP="001B56E4">
      <w:pPr>
        <w:pStyle w:val="NormalWeb"/>
        <w:spacing w:before="0" w:beforeAutospacing="0" w:after="120" w:afterAutospacing="0"/>
        <w:ind w:left="-284" w:firstLine="284"/>
        <w:jc w:val="both"/>
        <w:rPr>
          <w:rFonts w:ascii="Trebuchet MS" w:eastAsiaTheme="minorHAnsi" w:hAnsi="Trebuchet MS" w:cstheme="minorBidi"/>
          <w:sz w:val="28"/>
          <w:szCs w:val="28"/>
          <w:lang w:val="ro-RO"/>
        </w:rPr>
      </w:pPr>
      <w:r w:rsidRPr="001B56E4">
        <w:rPr>
          <w:rFonts w:ascii="Trebuchet MS" w:hAnsi="Trebuchet MS"/>
          <w:sz w:val="28"/>
          <w:szCs w:val="28"/>
        </w:rPr>
        <w:t>„(</w:t>
      </w:r>
      <w:r w:rsidRPr="001B56E4">
        <w:rPr>
          <w:rFonts w:ascii="Trebuchet MS" w:eastAsiaTheme="minorHAnsi" w:hAnsi="Trebuchet MS" w:cstheme="minorBidi"/>
          <w:sz w:val="28"/>
          <w:szCs w:val="28"/>
          <w:lang w:val="ro-RO"/>
        </w:rPr>
        <w:t xml:space="preserve">1) Indemnizaţiile lunare ale preşedinţilor şi vicepreşedinţilor consiliilor judeţene şi primarilor şi viceprimarilor unităţilor administrativ-teritoriale care implementează proiecte finanţate din fonduri europene nerambursabile şi/sau fonduri externe rambursabile, precum şi prin Mecanismul de redresare şi rezilienţă se majorează cu până la </w:t>
      </w:r>
      <w:r>
        <w:rPr>
          <w:rFonts w:ascii="Trebuchet MS" w:eastAsiaTheme="minorHAnsi" w:hAnsi="Trebuchet MS" w:cstheme="minorBidi"/>
          <w:sz w:val="28"/>
          <w:szCs w:val="28"/>
          <w:lang w:val="ro-RO"/>
        </w:rPr>
        <w:t>4</w:t>
      </w:r>
      <w:r w:rsidRPr="001B56E4">
        <w:rPr>
          <w:rFonts w:ascii="Trebuchet MS" w:eastAsiaTheme="minorHAnsi" w:hAnsi="Trebuchet MS" w:cstheme="minorBidi"/>
          <w:sz w:val="28"/>
          <w:szCs w:val="28"/>
          <w:lang w:val="ro-RO"/>
        </w:rPr>
        <w:t xml:space="preserve">0% în funcţie de numărul, tipul şi valoarea proiectelor aflate în implementare pentru care unităţile administrativ-teritoriale au calitatea de beneficiar, conform anexei </w:t>
      </w:r>
      <w:r w:rsidR="0007324A">
        <w:rPr>
          <w:rFonts w:ascii="Trebuchet MS" w:eastAsiaTheme="minorHAnsi" w:hAnsi="Trebuchet MS" w:cstheme="minorBidi"/>
          <w:sz w:val="28"/>
          <w:szCs w:val="28"/>
          <w:lang w:val="ro-RO"/>
        </w:rPr>
        <w:t xml:space="preserve">nr. 2 </w:t>
      </w:r>
      <w:r w:rsidRPr="001B56E4">
        <w:rPr>
          <w:rFonts w:ascii="Trebuchet MS" w:eastAsiaTheme="minorHAnsi" w:hAnsi="Trebuchet MS" w:cstheme="minorBidi"/>
          <w:sz w:val="28"/>
          <w:szCs w:val="28"/>
          <w:lang w:val="ro-RO"/>
        </w:rPr>
        <w:t xml:space="preserve">care face parte </w:t>
      </w:r>
      <w:r w:rsidR="0007324A">
        <w:rPr>
          <w:rFonts w:ascii="Trebuchet MS" w:eastAsiaTheme="minorHAnsi" w:hAnsi="Trebuchet MS" w:cstheme="minorBidi"/>
          <w:sz w:val="28"/>
          <w:szCs w:val="28"/>
          <w:lang w:val="ro-RO"/>
        </w:rPr>
        <w:t xml:space="preserve">integrantă </w:t>
      </w:r>
      <w:r w:rsidRPr="001B56E4">
        <w:rPr>
          <w:rFonts w:ascii="Trebuchet MS" w:eastAsiaTheme="minorHAnsi" w:hAnsi="Trebuchet MS" w:cstheme="minorBidi"/>
          <w:sz w:val="28"/>
          <w:szCs w:val="28"/>
          <w:lang w:val="ro-RO"/>
        </w:rPr>
        <w:t>din prezentul regulament-cadru.</w:t>
      </w:r>
      <w:r>
        <w:rPr>
          <w:rFonts w:ascii="Trebuchet MS" w:eastAsiaTheme="minorHAnsi" w:hAnsi="Trebuchet MS" w:cstheme="minorBidi"/>
          <w:sz w:val="28"/>
          <w:szCs w:val="28"/>
          <w:lang w:val="ro-RO"/>
        </w:rPr>
        <w:t xml:space="preserve"> </w:t>
      </w:r>
    </w:p>
    <w:p w14:paraId="4205A719" w14:textId="519CE874" w:rsidR="00732796" w:rsidRDefault="001B56E4" w:rsidP="001B56E4">
      <w:pPr>
        <w:pStyle w:val="NormalWeb"/>
        <w:spacing w:before="0" w:beforeAutospacing="0" w:after="120" w:afterAutospacing="0"/>
        <w:ind w:left="-284" w:firstLine="284"/>
        <w:jc w:val="both"/>
        <w:rPr>
          <w:rFonts w:ascii="Trebuchet MS" w:eastAsiaTheme="minorHAnsi" w:hAnsi="Trebuchet MS" w:cstheme="minorBidi"/>
          <w:sz w:val="28"/>
          <w:szCs w:val="28"/>
          <w:lang w:val="ro-RO"/>
        </w:rPr>
      </w:pPr>
      <w:r w:rsidRPr="001B56E4">
        <w:rPr>
          <w:rFonts w:ascii="Trebuchet MS" w:eastAsiaTheme="minorHAnsi" w:hAnsi="Trebuchet MS" w:cstheme="minorBidi"/>
          <w:sz w:val="28"/>
          <w:szCs w:val="28"/>
          <w:lang w:val="ro-RO"/>
        </w:rPr>
        <w:t xml:space="preserve">(3) Procentul de majorare salarială prevăzut la alin. (1), rezultat în urma aplicării prevederilor anexei la prezentul regulamentul-cadru se reduce cu </w:t>
      </w:r>
      <w:r>
        <w:rPr>
          <w:rFonts w:ascii="Trebuchet MS" w:eastAsiaTheme="minorHAnsi" w:hAnsi="Trebuchet MS" w:cstheme="minorBidi"/>
          <w:sz w:val="28"/>
          <w:szCs w:val="28"/>
          <w:lang w:val="ro-RO"/>
        </w:rPr>
        <w:t>4</w:t>
      </w:r>
      <w:r w:rsidRPr="001B56E4">
        <w:rPr>
          <w:rFonts w:ascii="Trebuchet MS" w:eastAsiaTheme="minorHAnsi" w:hAnsi="Trebuchet MS" w:cstheme="minorBidi"/>
          <w:sz w:val="28"/>
          <w:szCs w:val="28"/>
          <w:lang w:val="ro-RO"/>
        </w:rPr>
        <w:t xml:space="preserve">0% în situaţia în care un procent de peste </w:t>
      </w:r>
      <w:r>
        <w:rPr>
          <w:rFonts w:ascii="Trebuchet MS" w:eastAsiaTheme="minorHAnsi" w:hAnsi="Trebuchet MS" w:cstheme="minorBidi"/>
          <w:sz w:val="28"/>
          <w:szCs w:val="28"/>
          <w:lang w:val="ro-RO"/>
        </w:rPr>
        <w:t>4</w:t>
      </w:r>
      <w:r w:rsidRPr="001B56E4">
        <w:rPr>
          <w:rFonts w:ascii="Trebuchet MS" w:eastAsiaTheme="minorHAnsi" w:hAnsi="Trebuchet MS" w:cstheme="minorBidi"/>
          <w:sz w:val="28"/>
          <w:szCs w:val="28"/>
          <w:lang w:val="ro-RO"/>
        </w:rPr>
        <w:t>0% din valoarea cumulată a proiectelor aflate în implementare reprezintă proiecte care au ca obiect capacitatea administrativă a beneficiarului.</w:t>
      </w:r>
      <w:r>
        <w:rPr>
          <w:rFonts w:ascii="Trebuchet MS" w:eastAsiaTheme="minorHAnsi" w:hAnsi="Trebuchet MS" w:cstheme="minorBidi"/>
          <w:sz w:val="28"/>
          <w:szCs w:val="28"/>
          <w:lang w:val="ro-RO"/>
        </w:rPr>
        <w:t>”</w:t>
      </w:r>
    </w:p>
    <w:p w14:paraId="43F4B9B1" w14:textId="468F4F7B" w:rsidR="001B56E4" w:rsidRDefault="001B56E4" w:rsidP="001B56E4">
      <w:pPr>
        <w:pStyle w:val="NormalWeb"/>
        <w:spacing w:before="0" w:beforeAutospacing="0" w:after="120" w:afterAutospacing="0"/>
        <w:ind w:left="-284" w:firstLine="284"/>
        <w:jc w:val="both"/>
        <w:rPr>
          <w:rFonts w:ascii="Trebuchet MS" w:eastAsiaTheme="minorHAnsi" w:hAnsi="Trebuchet MS" w:cstheme="minorBidi"/>
          <w:sz w:val="28"/>
          <w:szCs w:val="28"/>
          <w:lang w:val="ro-RO"/>
        </w:rPr>
      </w:pPr>
      <w:r>
        <w:rPr>
          <w:rFonts w:ascii="Trebuchet MS" w:eastAsiaTheme="minorHAnsi" w:hAnsi="Trebuchet MS" w:cstheme="minorBidi"/>
          <w:sz w:val="28"/>
          <w:szCs w:val="28"/>
          <w:lang w:val="ro-RO"/>
        </w:rPr>
        <w:t xml:space="preserve">7. </w:t>
      </w:r>
      <w:r w:rsidR="0007324A">
        <w:rPr>
          <w:rFonts w:ascii="Trebuchet MS" w:eastAsiaTheme="minorHAnsi" w:hAnsi="Trebuchet MS" w:cstheme="minorBidi"/>
          <w:sz w:val="28"/>
          <w:szCs w:val="28"/>
          <w:lang w:val="ro-RO"/>
        </w:rPr>
        <w:t>Anexa nr. 1 se modifică și va avea cuprinsul prevăzut în anexa nr. 2.</w:t>
      </w:r>
    </w:p>
    <w:p w14:paraId="61464EA2" w14:textId="70D4AFFF" w:rsidR="00E8163C" w:rsidRDefault="00E8163C" w:rsidP="00D712B1">
      <w:pPr>
        <w:spacing w:after="120"/>
        <w:ind w:left="-284" w:firstLine="284"/>
        <w:rPr>
          <w:rFonts w:eastAsiaTheme="minorEastAsia" w:cs="Times New Roman"/>
          <w:bCs/>
          <w:sz w:val="28"/>
          <w:szCs w:val="28"/>
        </w:rPr>
      </w:pPr>
      <w:r w:rsidRPr="00E8163C">
        <w:rPr>
          <w:b/>
          <w:bCs/>
          <w:sz w:val="28"/>
          <w:szCs w:val="28"/>
        </w:rPr>
        <w:t>Art. II</w:t>
      </w:r>
      <w:r>
        <w:rPr>
          <w:sz w:val="28"/>
          <w:szCs w:val="28"/>
        </w:rPr>
        <w:t xml:space="preserve"> </w:t>
      </w:r>
      <w:r w:rsidRPr="00E8163C">
        <w:rPr>
          <w:rFonts w:eastAsiaTheme="minorEastAsia" w:cs="Times New Roman"/>
          <w:bCs/>
          <w:sz w:val="28"/>
          <w:szCs w:val="28"/>
        </w:rPr>
        <w:t xml:space="preserve">– </w:t>
      </w:r>
      <w:r w:rsidR="00D53777" w:rsidRPr="00D53777">
        <w:rPr>
          <w:rFonts w:eastAsia="Calibri" w:cs="Times New Roman"/>
          <w:color w:val="000000" w:themeColor="text1"/>
          <w:sz w:val="28"/>
          <w:szCs w:val="28"/>
        </w:rPr>
        <w:t>Până la</w:t>
      </w:r>
      <w:r w:rsidR="00D53777" w:rsidRPr="00D53777">
        <w:rPr>
          <w:sz w:val="28"/>
          <w:szCs w:val="28"/>
        </w:rPr>
        <w:t xml:space="preserve"> </w:t>
      </w:r>
      <w:r w:rsidR="00D53777" w:rsidRPr="00D53777">
        <w:rPr>
          <w:rFonts w:eastAsia="Calibri"/>
          <w:sz w:val="28"/>
          <w:szCs w:val="28"/>
        </w:rPr>
        <w:t>aproba</w:t>
      </w:r>
      <w:r w:rsidR="00D53777" w:rsidRPr="00D53777">
        <w:rPr>
          <w:sz w:val="28"/>
          <w:szCs w:val="28"/>
        </w:rPr>
        <w:t xml:space="preserve">rea primului </w:t>
      </w:r>
      <w:r w:rsidR="0046396B">
        <w:rPr>
          <w:sz w:val="28"/>
          <w:szCs w:val="28"/>
        </w:rPr>
        <w:t>raport trimestrial de progres</w:t>
      </w:r>
      <w:r w:rsidR="00D53777" w:rsidRPr="00D53777">
        <w:rPr>
          <w:rFonts w:eastAsia="Calibri" w:cs="Times New Roman"/>
          <w:color w:val="000000" w:themeColor="text1"/>
          <w:sz w:val="28"/>
          <w:szCs w:val="28"/>
        </w:rPr>
        <w:t>,</w:t>
      </w:r>
      <w:r w:rsidR="0046396B">
        <w:rPr>
          <w:rFonts w:eastAsia="Calibri" w:cs="Times New Roman"/>
          <w:color w:val="000000" w:themeColor="text1"/>
          <w:sz w:val="28"/>
          <w:szCs w:val="28"/>
        </w:rPr>
        <w:t xml:space="preserve"> întocmit potrivit prevederilor prezentei hotărâri</w:t>
      </w:r>
      <w:r w:rsidR="00254D87">
        <w:rPr>
          <w:rFonts w:eastAsia="Calibri" w:cs="Times New Roman"/>
          <w:color w:val="000000" w:themeColor="text1"/>
          <w:sz w:val="28"/>
          <w:szCs w:val="28"/>
        </w:rPr>
        <w:t>, în primele 5 zile ale lunii octombrie 2025</w:t>
      </w:r>
      <w:r w:rsidR="0046396B">
        <w:rPr>
          <w:rFonts w:eastAsia="Calibri" w:cs="Times New Roman"/>
          <w:color w:val="000000" w:themeColor="text1"/>
          <w:sz w:val="28"/>
          <w:szCs w:val="28"/>
        </w:rPr>
        <w:t>,</w:t>
      </w:r>
      <w:r w:rsidR="00D53777" w:rsidRPr="00D53777">
        <w:rPr>
          <w:rFonts w:eastAsia="Calibri" w:cs="Times New Roman"/>
          <w:color w:val="000000" w:themeColor="text1"/>
          <w:sz w:val="28"/>
          <w:szCs w:val="28"/>
        </w:rPr>
        <w:t xml:space="preserve"> plata drepturilor stabilite potrivit art.4 alin. (1) se acordă în condițiile legislației în vigoare la data</w:t>
      </w:r>
      <w:r w:rsidR="00D53777" w:rsidRPr="00D53777">
        <w:rPr>
          <w:color w:val="000000" w:themeColor="text1"/>
          <w:sz w:val="28"/>
          <w:szCs w:val="28"/>
        </w:rPr>
        <w:t xml:space="preserve"> intrării în vigoare a prezentei hotărâri</w:t>
      </w:r>
      <w:r w:rsidR="00D53777" w:rsidRPr="00D53777">
        <w:rPr>
          <w:rFonts w:eastAsia="Calibri" w:cs="Times New Roman"/>
          <w:color w:val="000000" w:themeColor="text1"/>
          <w:sz w:val="28"/>
          <w:szCs w:val="28"/>
        </w:rPr>
        <w:t>.</w:t>
      </w:r>
    </w:p>
    <w:p w14:paraId="3C70F319" w14:textId="61438021" w:rsidR="0007324A" w:rsidRPr="001B56E4" w:rsidRDefault="0007324A" w:rsidP="001B56E4">
      <w:pPr>
        <w:pStyle w:val="NormalWeb"/>
        <w:spacing w:before="0" w:beforeAutospacing="0" w:after="120" w:afterAutospacing="0"/>
        <w:ind w:left="-284" w:firstLine="284"/>
        <w:jc w:val="both"/>
        <w:rPr>
          <w:rFonts w:ascii="Trebuchet MS" w:eastAsiaTheme="minorHAnsi" w:hAnsi="Trebuchet MS" w:cstheme="minorBidi"/>
          <w:sz w:val="28"/>
          <w:szCs w:val="28"/>
          <w:lang w:val="ro-RO"/>
        </w:rPr>
      </w:pPr>
    </w:p>
    <w:p w14:paraId="7A145E7A" w14:textId="0FB230C5" w:rsidR="001B3131" w:rsidRPr="001B3131" w:rsidRDefault="001B3131" w:rsidP="000C5C88">
      <w:pPr>
        <w:spacing w:after="120"/>
        <w:ind w:left="-284"/>
        <w:jc w:val="center"/>
        <w:rPr>
          <w:rFonts w:eastAsiaTheme="minorEastAsia" w:cs="Times New Roman"/>
          <w:b/>
          <w:sz w:val="28"/>
          <w:szCs w:val="28"/>
        </w:rPr>
      </w:pPr>
      <w:r w:rsidRPr="001B3131">
        <w:rPr>
          <w:rFonts w:eastAsiaTheme="minorEastAsia" w:cs="Times New Roman"/>
          <w:b/>
          <w:sz w:val="28"/>
          <w:szCs w:val="28"/>
        </w:rPr>
        <w:t>PRIM-MINISTRU</w:t>
      </w:r>
    </w:p>
    <w:p w14:paraId="7A7968D3" w14:textId="77777777" w:rsidR="001B3131" w:rsidRDefault="001B3131" w:rsidP="000C5C88">
      <w:pPr>
        <w:spacing w:after="120"/>
        <w:ind w:left="-284"/>
        <w:jc w:val="center"/>
        <w:rPr>
          <w:rFonts w:eastAsiaTheme="minorEastAsia" w:cs="Times New Roman"/>
          <w:b/>
          <w:sz w:val="28"/>
          <w:szCs w:val="28"/>
        </w:rPr>
      </w:pPr>
      <w:r w:rsidRPr="001B3131">
        <w:rPr>
          <w:rFonts w:eastAsiaTheme="minorEastAsia" w:cs="Times New Roman"/>
          <w:b/>
          <w:sz w:val="28"/>
          <w:szCs w:val="28"/>
        </w:rPr>
        <w:br/>
        <w:t>Ilie-Gavril BOLOJAN</w:t>
      </w:r>
    </w:p>
    <w:p w14:paraId="58233C30" w14:textId="5AC8F579" w:rsidR="004447EC" w:rsidRDefault="004447EC">
      <w:pPr>
        <w:rPr>
          <w:rFonts w:eastAsiaTheme="minorEastAsia" w:cs="Times New Roman"/>
          <w:b/>
          <w:sz w:val="28"/>
          <w:szCs w:val="28"/>
        </w:rPr>
      </w:pPr>
      <w:r>
        <w:rPr>
          <w:rFonts w:eastAsiaTheme="minorEastAsia" w:cs="Times New Roman"/>
          <w:b/>
          <w:sz w:val="28"/>
          <w:szCs w:val="28"/>
        </w:rPr>
        <w:br w:type="page"/>
      </w:r>
    </w:p>
    <w:p w14:paraId="0991B71E" w14:textId="2C776744" w:rsidR="00E53B41" w:rsidRDefault="00427FC5" w:rsidP="00427FC5">
      <w:pPr>
        <w:spacing w:after="120"/>
        <w:ind w:left="-284" w:firstLine="644"/>
        <w:jc w:val="right"/>
        <w:rPr>
          <w:rFonts w:eastAsiaTheme="minorEastAsia" w:cs="Times New Roman"/>
          <w:b/>
          <w:sz w:val="28"/>
          <w:szCs w:val="28"/>
        </w:rPr>
      </w:pPr>
      <w:r>
        <w:rPr>
          <w:rFonts w:eastAsiaTheme="minorEastAsia" w:cs="Times New Roman"/>
          <w:b/>
          <w:sz w:val="28"/>
          <w:szCs w:val="28"/>
        </w:rPr>
        <w:lastRenderedPageBreak/>
        <w:t>Anex</w:t>
      </w:r>
      <w:r w:rsidR="0007324A">
        <w:rPr>
          <w:rFonts w:eastAsiaTheme="minorEastAsia" w:cs="Times New Roman"/>
          <w:b/>
          <w:sz w:val="28"/>
          <w:szCs w:val="28"/>
        </w:rPr>
        <w:t>a nr. 1</w:t>
      </w:r>
    </w:p>
    <w:p w14:paraId="5551360F" w14:textId="2274775E" w:rsidR="005B1546" w:rsidRPr="000D3C1E" w:rsidRDefault="005B1546" w:rsidP="000D3C1E">
      <w:pPr>
        <w:spacing w:after="120"/>
        <w:ind w:left="-284" w:firstLine="644"/>
        <w:jc w:val="center"/>
        <w:rPr>
          <w:sz w:val="28"/>
          <w:szCs w:val="28"/>
        </w:rPr>
      </w:pPr>
      <w:bookmarkStart w:id="3" w:name="_Hlk201662235"/>
      <w:r>
        <w:rPr>
          <w:sz w:val="28"/>
          <w:szCs w:val="28"/>
        </w:rPr>
        <w:t xml:space="preserve">Procentul de </w:t>
      </w:r>
      <w:r w:rsidRPr="00A67B84">
        <w:rPr>
          <w:sz w:val="28"/>
          <w:szCs w:val="28"/>
        </w:rPr>
        <w:t>majorare a salariilor de bază, soldelor de funcţie/salariilor de funcţie, indemnizaţiilor de încadrare</w:t>
      </w:r>
      <w:r>
        <w:rPr>
          <w:sz w:val="28"/>
          <w:szCs w:val="28"/>
        </w:rPr>
        <w:t xml:space="preserve"> ale p</w:t>
      </w:r>
      <w:r w:rsidRPr="00A67B84">
        <w:rPr>
          <w:sz w:val="28"/>
          <w:szCs w:val="28"/>
        </w:rPr>
        <w:t>ersonalul</w:t>
      </w:r>
      <w:r>
        <w:rPr>
          <w:sz w:val="28"/>
          <w:szCs w:val="28"/>
        </w:rPr>
        <w:t xml:space="preserve">ui </w:t>
      </w:r>
      <w:r w:rsidRPr="00A67B84">
        <w:rPr>
          <w:sz w:val="28"/>
          <w:szCs w:val="28"/>
        </w:rPr>
        <w:t>din cadrul instituţiei şi/sau autorităţii publice, nominalizat</w:t>
      </w:r>
      <w:r>
        <w:rPr>
          <w:sz w:val="28"/>
          <w:szCs w:val="28"/>
        </w:rPr>
        <w:t xml:space="preserve"> </w:t>
      </w:r>
      <w:r w:rsidRPr="00A67B84">
        <w:rPr>
          <w:sz w:val="28"/>
          <w:szCs w:val="28"/>
        </w:rPr>
        <w:t>în echipele de proiecte finanţate din fonduri europene nerambursabile şi/sau fonduri externe rambursabile, precum şi pentru implementarea proiectelor finanţate prin Mecanismul de redresare şi rezilienţă</w:t>
      </w:r>
      <w:bookmarkEnd w:id="3"/>
    </w:p>
    <w:tbl>
      <w:tblPr>
        <w:tblW w:w="5654" w:type="pct"/>
        <w:tblInd w:w="-436" w:type="dxa"/>
        <w:tblLayout w:type="fixed"/>
        <w:tblLook w:val="04A0" w:firstRow="1" w:lastRow="0" w:firstColumn="1" w:lastColumn="0" w:noHBand="0" w:noVBand="1"/>
      </w:tblPr>
      <w:tblGrid>
        <w:gridCol w:w="1614"/>
        <w:gridCol w:w="1274"/>
        <w:gridCol w:w="1445"/>
        <w:gridCol w:w="1440"/>
        <w:gridCol w:w="1442"/>
        <w:gridCol w:w="1733"/>
        <w:gridCol w:w="1737"/>
      </w:tblGrid>
      <w:tr w:rsidR="005B1546" w:rsidRPr="00F2363E" w14:paraId="2E916EC9" w14:textId="77777777" w:rsidTr="005B1546">
        <w:trPr>
          <w:trHeight w:val="555"/>
        </w:trPr>
        <w:tc>
          <w:tcPr>
            <w:tcW w:w="7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  <w:noWrap/>
            <w:vAlign w:val="center"/>
            <w:hideMark/>
          </w:tcPr>
          <w:p w14:paraId="21CDB55B" w14:textId="616F10F5" w:rsidR="005B1546" w:rsidRPr="00986049" w:rsidRDefault="005B1546" w:rsidP="003B468F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98604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  <w:t>Valoarea</w:t>
            </w:r>
            <w:r w:rsidR="001A4F1E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  <w:t xml:space="preserve"> totală</w:t>
            </w:r>
            <w:r w:rsidRPr="0098604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  <w:t xml:space="preserve"> cumulată a proiectelor</w:t>
            </w:r>
          </w:p>
          <w:p w14:paraId="6BB3210C" w14:textId="77777777" w:rsidR="005B1546" w:rsidRPr="00986049" w:rsidRDefault="005B1546" w:rsidP="003B468F">
            <w:pPr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986049">
              <w:rPr>
                <w:rFonts w:eastAsia="Times New Roman" w:cs="Calibri"/>
                <w:b/>
                <w:bCs/>
                <w:color w:val="000000"/>
                <w:lang w:eastAsia="ro-RO"/>
              </w:rPr>
              <w:t>(lei)</w:t>
            </w:r>
          </w:p>
          <w:p w14:paraId="5207C404" w14:textId="77777777" w:rsidR="005B1546" w:rsidRPr="00986049" w:rsidRDefault="005B1546" w:rsidP="003B468F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</w:p>
          <w:p w14:paraId="0EF7B4A2" w14:textId="77777777" w:rsidR="005B1546" w:rsidRPr="00986049" w:rsidRDefault="005B1546" w:rsidP="003B468F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98604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  <w:t xml:space="preserve">Număr </w:t>
            </w:r>
          </w:p>
          <w:p w14:paraId="4FD962E6" w14:textId="77777777" w:rsidR="005B1546" w:rsidRPr="00986049" w:rsidRDefault="005B1546" w:rsidP="003B468F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98604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  <w:t>ore</w:t>
            </w:r>
          </w:p>
          <w:p w14:paraId="61B3E64C" w14:textId="77777777" w:rsidR="005B1546" w:rsidRPr="00986049" w:rsidRDefault="005B1546" w:rsidP="003B468F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98604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  <w:t>cumulate</w:t>
            </w:r>
          </w:p>
          <w:p w14:paraId="4D96DC28" w14:textId="77777777" w:rsidR="005B1546" w:rsidRPr="00F2363E" w:rsidRDefault="005B1546" w:rsidP="003B468F">
            <w:pPr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98604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  <w:t>pe lună</w:t>
            </w:r>
          </w:p>
        </w:tc>
        <w:tc>
          <w:tcPr>
            <w:tcW w:w="424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F88CF9C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sz w:val="36"/>
                <w:szCs w:val="36"/>
                <w:lang w:eastAsia="ro-RO"/>
              </w:rPr>
            </w:pPr>
            <w:r w:rsidRPr="00830F64">
              <w:rPr>
                <w:sz w:val="28"/>
                <w:szCs w:val="28"/>
              </w:rPr>
              <w:t>Procent majorare</w:t>
            </w:r>
            <w:r w:rsidRPr="00A67B84">
              <w:rPr>
                <w:sz w:val="28"/>
                <w:szCs w:val="28"/>
              </w:rPr>
              <w:t xml:space="preserve"> salarii de bază, solde de funcţie/salarii de funcţie, indemnizaţii de încadrare</w:t>
            </w:r>
          </w:p>
        </w:tc>
      </w:tr>
      <w:tr w:rsidR="005B1546" w:rsidRPr="00F2363E" w14:paraId="500D214B" w14:textId="77777777" w:rsidTr="005B1546">
        <w:trPr>
          <w:trHeight w:val="315"/>
        </w:trPr>
        <w:tc>
          <w:tcPr>
            <w:tcW w:w="75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A029B9" w14:textId="77777777" w:rsidR="005B1546" w:rsidRPr="00F2363E" w:rsidRDefault="005B1546" w:rsidP="003B468F">
            <w:pPr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6D77BF" w14:textId="77777777" w:rsidR="005B1546" w:rsidRPr="005B1546" w:rsidRDefault="005B1546" w:rsidP="003B468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sub 1.000.000</w:t>
            </w:r>
          </w:p>
          <w:p w14:paraId="7097B68C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5F3A5AD" w14:textId="77777777" w:rsidR="005B1546" w:rsidRPr="005B1546" w:rsidRDefault="005B1546" w:rsidP="003B468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</w:p>
          <w:p w14:paraId="074302BD" w14:textId="3C430689" w:rsidR="005B1546" w:rsidRPr="005B1546" w:rsidRDefault="005B1546" w:rsidP="003B468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1.000.00</w:t>
            </w:r>
            <w:r w:rsidR="00C64C41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 - 2.500.000</w:t>
            </w:r>
          </w:p>
          <w:p w14:paraId="30CCB31A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FFA6E4" w14:textId="2FA9F180" w:rsidR="005B1546" w:rsidRPr="005B1546" w:rsidRDefault="005B1546" w:rsidP="003B468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2.500.00</w:t>
            </w:r>
            <w:r w:rsidR="00C64C41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 - 5.000.000</w:t>
            </w:r>
          </w:p>
          <w:p w14:paraId="65B24660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42D102" w14:textId="69C67696" w:rsidR="005B1546" w:rsidRPr="005B1546" w:rsidRDefault="005B1546" w:rsidP="003B468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5.000.00</w:t>
            </w:r>
            <w:r w:rsidR="00C64C41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 - 10.000.000</w:t>
            </w:r>
          </w:p>
          <w:p w14:paraId="3558DE11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4C0FB1" w14:textId="52D8E738" w:rsidR="005B1546" w:rsidRPr="005B1546" w:rsidRDefault="005B1546" w:rsidP="003B468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10.000.00</w:t>
            </w:r>
            <w:r w:rsidR="00C64C41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 - 20.000.000</w:t>
            </w:r>
          </w:p>
          <w:p w14:paraId="5A02B7CA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551ACF4" w14:textId="77777777" w:rsidR="005B1546" w:rsidRPr="005B1546" w:rsidRDefault="005B1546" w:rsidP="003B468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peste 20.000.000</w:t>
            </w:r>
          </w:p>
          <w:p w14:paraId="1964EE0D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</w:tr>
      <w:tr w:rsidR="005B1546" w:rsidRPr="00F2363E" w14:paraId="260C4668" w14:textId="77777777" w:rsidTr="005B1546">
        <w:trPr>
          <w:trHeight w:val="330"/>
        </w:trPr>
        <w:tc>
          <w:tcPr>
            <w:tcW w:w="75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C31968" w14:textId="77777777" w:rsidR="005B1546" w:rsidRPr="00F2363E" w:rsidRDefault="005B1546" w:rsidP="003B468F">
            <w:pPr>
              <w:rPr>
                <w:rFonts w:eastAsia="Times New Roman" w:cs="Calibri"/>
                <w:color w:val="000000"/>
                <w:lang w:eastAsia="ro-RO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B2787C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C4EE63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FA0E6D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0849DB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0643E2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66E92E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</w:tr>
      <w:tr w:rsidR="005B1546" w:rsidRPr="005B1546" w14:paraId="79B028BE" w14:textId="77777777" w:rsidTr="005B1546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F5BC34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 xml:space="preserve">Până la 20 ore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1E81D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2767A" w14:textId="62A20D3B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80D47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1FFF0" w14:textId="78F029B3" w:rsidR="005B1546" w:rsidRPr="00F2363E" w:rsidRDefault="004447EC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5</w:t>
            </w:r>
            <w:r w:rsidR="005B1546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454EF" w14:textId="39A398FA" w:rsidR="005B1546" w:rsidRPr="00F2363E" w:rsidRDefault="004447EC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5</w:t>
            </w:r>
            <w:r w:rsidR="005B1546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5B17E3" w14:textId="6498B155" w:rsidR="005B1546" w:rsidRPr="00F2363E" w:rsidRDefault="004447EC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5</w:t>
            </w:r>
            <w:r w:rsidR="005B1546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</w:tr>
      <w:tr w:rsidR="005B1546" w:rsidRPr="005B1546" w14:paraId="3F0FCFFE" w14:textId="77777777" w:rsidTr="005B1546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17FF16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între 21 și 40 ore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1F38B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DB6A" w14:textId="33BAF353" w:rsidR="005B1546" w:rsidRPr="00F2363E" w:rsidRDefault="00D82E78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5</w:t>
            </w:r>
            <w:r w:rsidR="005B1546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622AA" w14:textId="083F8C2E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1</w:t>
            </w:r>
            <w:r w:rsidR="00D82E78">
              <w:rPr>
                <w:rFonts w:eastAsia="Times New Roman" w:cs="Calibri"/>
                <w:color w:val="000000"/>
                <w:lang w:eastAsia="ro-RO"/>
              </w:rPr>
              <w:t>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C8D3A" w14:textId="755BE8B6" w:rsidR="005B1546" w:rsidRPr="00F2363E" w:rsidRDefault="00D82E78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1</w:t>
            </w:r>
            <w:r w:rsidR="005B1546" w:rsidRPr="005B1546">
              <w:rPr>
                <w:rFonts w:eastAsia="Times New Roman" w:cs="Calibri"/>
                <w:color w:val="000000"/>
                <w:lang w:eastAsia="ro-RO"/>
              </w:rPr>
              <w:t>0</w:t>
            </w:r>
            <w:r w:rsidR="005B1546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2D01F" w14:textId="48A56E11" w:rsidR="005B1546" w:rsidRPr="00F2363E" w:rsidRDefault="00D82E78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1</w:t>
            </w:r>
            <w:r w:rsidR="005B1546" w:rsidRPr="005B1546">
              <w:rPr>
                <w:rFonts w:eastAsia="Times New Roman" w:cs="Calibri"/>
                <w:color w:val="000000"/>
                <w:lang w:eastAsia="ro-RO"/>
              </w:rPr>
              <w:t>0</w:t>
            </w:r>
            <w:r w:rsidR="005B1546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B71E3C" w14:textId="54797BEA" w:rsidR="005B1546" w:rsidRPr="00F2363E" w:rsidRDefault="00D82E78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1</w:t>
            </w:r>
            <w:r w:rsidR="005B1546" w:rsidRPr="005B1546">
              <w:rPr>
                <w:rFonts w:eastAsia="Times New Roman" w:cs="Calibri"/>
                <w:color w:val="000000"/>
                <w:lang w:eastAsia="ro-RO"/>
              </w:rPr>
              <w:t>0</w:t>
            </w:r>
            <w:r w:rsidR="005B1546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</w:tr>
      <w:tr w:rsidR="005B1546" w:rsidRPr="005B1546" w14:paraId="5A857C67" w14:textId="77777777" w:rsidTr="005B1546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AB2833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 xml:space="preserve">între 41 și 60 ore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22011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10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50975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10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8D32E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15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A40FC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20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BE301" w14:textId="68EA0102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2</w:t>
            </w:r>
            <w:r w:rsidR="00D82E78">
              <w:rPr>
                <w:rFonts w:eastAsia="Times New Roman" w:cs="Calibri"/>
                <w:color w:val="000000"/>
                <w:lang w:eastAsia="ro-RO"/>
              </w:rPr>
              <w:t>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4086F0" w14:textId="638FC853" w:rsidR="005B1546" w:rsidRPr="00F2363E" w:rsidRDefault="00D82E78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</w:t>
            </w:r>
            <w:r w:rsidR="005B1546" w:rsidRPr="00F2363E">
              <w:rPr>
                <w:rFonts w:eastAsia="Times New Roman" w:cs="Calibri"/>
                <w:color w:val="000000"/>
                <w:lang w:eastAsia="ro-RO"/>
              </w:rPr>
              <w:t>0%</w:t>
            </w:r>
          </w:p>
        </w:tc>
      </w:tr>
      <w:tr w:rsidR="005B1546" w:rsidRPr="005B1546" w14:paraId="2CEEE4A5" w14:textId="77777777" w:rsidTr="005B1546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0265BE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între 61 și 80 ore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5FA32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15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C37A3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20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F627F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25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28CC2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30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EDA86" w14:textId="0A258CF3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3</w:t>
            </w:r>
            <w:r w:rsidR="00D82E78">
              <w:rPr>
                <w:rFonts w:eastAsia="Times New Roman" w:cs="Calibri"/>
                <w:color w:val="000000"/>
                <w:lang w:eastAsia="ro-RO"/>
              </w:rPr>
              <w:t>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721DD2" w14:textId="4330FBFE" w:rsidR="005B1546" w:rsidRPr="00F2363E" w:rsidRDefault="00D82E78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</w:t>
            </w:r>
            <w:r w:rsidR="005B1546" w:rsidRPr="00F2363E">
              <w:rPr>
                <w:rFonts w:eastAsia="Times New Roman" w:cs="Calibri"/>
                <w:color w:val="000000"/>
                <w:lang w:eastAsia="ro-RO"/>
              </w:rPr>
              <w:t>0%</w:t>
            </w:r>
          </w:p>
        </w:tc>
      </w:tr>
      <w:tr w:rsidR="005B1546" w:rsidRPr="005B1546" w14:paraId="7CB56C80" w14:textId="77777777" w:rsidTr="005B1546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C6623C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peste 80 ore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37EE6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25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81500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3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0%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A5381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35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23FAD" w14:textId="77777777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40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19215" w14:textId="2FAD7E4B" w:rsidR="005B1546" w:rsidRPr="00F2363E" w:rsidRDefault="005B1546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4</w:t>
            </w:r>
            <w:r w:rsidR="00D82E78">
              <w:rPr>
                <w:rFonts w:eastAsia="Times New Roman" w:cs="Calibri"/>
                <w:color w:val="000000"/>
                <w:lang w:eastAsia="ro-RO"/>
              </w:rPr>
              <w:t>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6E1F59" w14:textId="3921D574" w:rsidR="005B1546" w:rsidRPr="00F2363E" w:rsidRDefault="00D82E78" w:rsidP="003B468F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</w:t>
            </w:r>
            <w:r w:rsidR="005B1546" w:rsidRPr="00F2363E">
              <w:rPr>
                <w:rFonts w:eastAsia="Times New Roman" w:cs="Calibri"/>
                <w:color w:val="000000"/>
                <w:lang w:eastAsia="ro-RO"/>
              </w:rPr>
              <w:t>0%</w:t>
            </w:r>
          </w:p>
        </w:tc>
      </w:tr>
    </w:tbl>
    <w:p w14:paraId="520220FF" w14:textId="77777777" w:rsidR="000D3C1E" w:rsidRPr="000D3C1E" w:rsidRDefault="000D3C1E" w:rsidP="0007324A">
      <w:pPr>
        <w:spacing w:after="120"/>
        <w:ind w:left="-284" w:firstLine="644"/>
        <w:jc w:val="right"/>
        <w:rPr>
          <w:rFonts w:eastAsiaTheme="minorEastAsia" w:cs="Times New Roman"/>
          <w:b/>
          <w:bCs/>
          <w:sz w:val="8"/>
          <w:szCs w:val="8"/>
        </w:rPr>
      </w:pPr>
    </w:p>
    <w:p w14:paraId="4BD24974" w14:textId="7EDE6D86" w:rsidR="0007324A" w:rsidRPr="008E3C30" w:rsidRDefault="0007324A" w:rsidP="008E3C30">
      <w:pPr>
        <w:spacing w:after="120"/>
        <w:ind w:left="-284" w:firstLine="644"/>
        <w:jc w:val="right"/>
        <w:rPr>
          <w:rFonts w:eastAsiaTheme="minorEastAsia" w:cs="Times New Roman"/>
          <w:b/>
          <w:bCs/>
          <w:sz w:val="28"/>
          <w:szCs w:val="28"/>
        </w:rPr>
      </w:pPr>
      <w:bookmarkStart w:id="4" w:name="_Hlk205299241"/>
      <w:r w:rsidRPr="0007324A">
        <w:rPr>
          <w:rFonts w:eastAsiaTheme="minorEastAsia" w:cs="Times New Roman"/>
          <w:b/>
          <w:bCs/>
          <w:sz w:val="28"/>
          <w:szCs w:val="28"/>
        </w:rPr>
        <w:t>Anexa nr. 2</w:t>
      </w:r>
    </w:p>
    <w:p w14:paraId="128A6DF3" w14:textId="77777777" w:rsidR="0007324A" w:rsidRPr="0007324A" w:rsidRDefault="0007324A" w:rsidP="0007324A">
      <w:pPr>
        <w:pStyle w:val="NormalWeb"/>
        <w:spacing w:before="0" w:beforeAutospacing="0" w:after="0" w:afterAutospacing="0"/>
        <w:jc w:val="center"/>
        <w:rPr>
          <w:rFonts w:ascii="Trebuchet MS" w:eastAsiaTheme="minorHAnsi" w:hAnsi="Trebuchet MS" w:cstheme="minorBidi"/>
          <w:sz w:val="28"/>
          <w:szCs w:val="28"/>
          <w:lang w:val="ro-RO"/>
        </w:rPr>
      </w:pPr>
      <w:r w:rsidRPr="0007324A">
        <w:rPr>
          <w:rFonts w:ascii="Trebuchet MS" w:eastAsiaTheme="minorHAnsi" w:hAnsi="Trebuchet MS" w:cstheme="minorBidi"/>
          <w:sz w:val="28"/>
          <w:szCs w:val="28"/>
          <w:lang w:val="ro-RO"/>
        </w:rPr>
        <w:t>PROCENTUL DE MAJORARE A INDEMNIZAŢIILOR LUNARE</w:t>
      </w:r>
    </w:p>
    <w:p w14:paraId="1971590E" w14:textId="5CD6407A" w:rsidR="0007324A" w:rsidRDefault="0007324A" w:rsidP="0007324A">
      <w:pPr>
        <w:pStyle w:val="NormalWeb"/>
        <w:spacing w:before="0" w:beforeAutospacing="0" w:after="0" w:afterAutospacing="0"/>
        <w:jc w:val="both"/>
        <w:rPr>
          <w:rFonts w:ascii="Trebuchet MS" w:eastAsiaTheme="minorHAnsi" w:hAnsi="Trebuchet MS" w:cstheme="minorBidi"/>
          <w:sz w:val="28"/>
          <w:szCs w:val="28"/>
          <w:lang w:val="ro-RO"/>
        </w:rPr>
      </w:pPr>
      <w:r w:rsidRPr="0007324A">
        <w:rPr>
          <w:rFonts w:ascii="Trebuchet MS" w:eastAsiaTheme="minorHAnsi" w:hAnsi="Trebuchet MS" w:cstheme="minorBidi"/>
          <w:sz w:val="28"/>
          <w:szCs w:val="28"/>
          <w:lang w:val="ro-RO"/>
        </w:rPr>
        <w:t> </w:t>
      </w:r>
      <w:r w:rsidRPr="0007324A">
        <w:rPr>
          <w:rFonts w:ascii="Trebuchet MS" w:eastAsiaTheme="minorHAnsi" w:hAnsi="Trebuchet MS" w:cstheme="minorBidi"/>
          <w:sz w:val="28"/>
          <w:szCs w:val="28"/>
          <w:lang w:val="ro-RO"/>
        </w:rPr>
        <w:t> </w:t>
      </w:r>
      <w:r w:rsidRPr="0007324A">
        <w:rPr>
          <w:rFonts w:ascii="Trebuchet MS" w:eastAsiaTheme="minorHAnsi" w:hAnsi="Trebuchet MS" w:cstheme="minorBidi"/>
          <w:sz w:val="28"/>
          <w:szCs w:val="28"/>
          <w:lang w:val="ro-RO"/>
        </w:rPr>
        <w:t>A. Procentul de majorare a indemnizaţiilor lunare ale preşedinţilor şi vicepreşedinţilor consiliilor judeţene, precum şi ale primarilor şi viceprimarilor unităţilor administrativ-teritoriale din categoria municipiilor şi oraşelor care implementează proiecte finanţate din fonduri europene nerambursabile şi/sau fonduri externe rambursabile, precum şi prin Mecanismul de redresare şi rezilienţă</w:t>
      </w:r>
    </w:p>
    <w:tbl>
      <w:tblPr>
        <w:tblW w:w="5654" w:type="pct"/>
        <w:tblInd w:w="-436" w:type="dxa"/>
        <w:tblLayout w:type="fixed"/>
        <w:tblLook w:val="04A0" w:firstRow="1" w:lastRow="0" w:firstColumn="1" w:lastColumn="0" w:noHBand="0" w:noVBand="1"/>
      </w:tblPr>
      <w:tblGrid>
        <w:gridCol w:w="1614"/>
        <w:gridCol w:w="1274"/>
        <w:gridCol w:w="1445"/>
        <w:gridCol w:w="1440"/>
        <w:gridCol w:w="1442"/>
        <w:gridCol w:w="1733"/>
        <w:gridCol w:w="1737"/>
      </w:tblGrid>
      <w:tr w:rsidR="0007324A" w:rsidRPr="00F2363E" w14:paraId="49ECAAEE" w14:textId="77777777" w:rsidTr="00920BA9">
        <w:trPr>
          <w:trHeight w:val="555"/>
        </w:trPr>
        <w:tc>
          <w:tcPr>
            <w:tcW w:w="7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  <w:noWrap/>
            <w:vAlign w:val="center"/>
            <w:hideMark/>
          </w:tcPr>
          <w:p w14:paraId="37E994AE" w14:textId="77777777" w:rsidR="0007324A" w:rsidRPr="000D3C1E" w:rsidRDefault="0007324A" w:rsidP="00920BA9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D3C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  <w:t>Valoarea cumulată a proiectelor</w:t>
            </w:r>
          </w:p>
          <w:p w14:paraId="16F9ADD5" w14:textId="77777777" w:rsidR="0007324A" w:rsidRPr="00986049" w:rsidRDefault="0007324A" w:rsidP="00920BA9">
            <w:pPr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986049">
              <w:rPr>
                <w:rFonts w:eastAsia="Times New Roman" w:cs="Calibri"/>
                <w:b/>
                <w:bCs/>
                <w:color w:val="000000"/>
                <w:lang w:eastAsia="ro-RO"/>
              </w:rPr>
              <w:t>(lei)</w:t>
            </w:r>
          </w:p>
          <w:p w14:paraId="038E76F6" w14:textId="77777777" w:rsidR="0007324A" w:rsidRPr="00986049" w:rsidRDefault="0007324A" w:rsidP="00920BA9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</w:p>
          <w:p w14:paraId="0B765FC9" w14:textId="77777777" w:rsidR="0007324A" w:rsidRPr="000D3C1E" w:rsidRDefault="0007324A" w:rsidP="00920BA9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D3C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  <w:t xml:space="preserve">Număr </w:t>
            </w:r>
          </w:p>
          <w:p w14:paraId="699E0D36" w14:textId="4C61C88C" w:rsidR="00411DB5" w:rsidRDefault="00411DB5" w:rsidP="00920BA9">
            <w:pPr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  <w:t>p</w:t>
            </w:r>
            <w:r w:rsidR="000D3C1E" w:rsidRPr="000D3C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  <w:t>roiecte</w:t>
            </w:r>
          </w:p>
          <w:p w14:paraId="7B332D0F" w14:textId="77A75613" w:rsidR="0007324A" w:rsidRPr="00F2363E" w:rsidRDefault="000D3C1E" w:rsidP="00920BA9">
            <w:pPr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0D3C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  <w:t xml:space="preserve"> aflate în implementare</w:t>
            </w:r>
          </w:p>
        </w:tc>
        <w:tc>
          <w:tcPr>
            <w:tcW w:w="424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5549BDF" w14:textId="3CD427D4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sz w:val="36"/>
                <w:szCs w:val="36"/>
                <w:lang w:eastAsia="ro-RO"/>
              </w:rPr>
            </w:pPr>
            <w:r w:rsidRPr="00830F64">
              <w:rPr>
                <w:sz w:val="28"/>
                <w:szCs w:val="28"/>
              </w:rPr>
              <w:t>Procent</w:t>
            </w:r>
            <w:r w:rsidR="00CA29B5">
              <w:rPr>
                <w:sz w:val="28"/>
                <w:szCs w:val="28"/>
              </w:rPr>
              <w:t>ul de</w:t>
            </w:r>
            <w:r w:rsidRPr="00830F64">
              <w:rPr>
                <w:sz w:val="28"/>
                <w:szCs w:val="28"/>
              </w:rPr>
              <w:t xml:space="preserve"> majorare</w:t>
            </w:r>
            <w:r w:rsidR="00411DB5">
              <w:rPr>
                <w:sz w:val="28"/>
                <w:szCs w:val="28"/>
              </w:rPr>
              <w:t xml:space="preserve"> a</w:t>
            </w:r>
            <w:r w:rsidRPr="00A67B84">
              <w:rPr>
                <w:sz w:val="28"/>
                <w:szCs w:val="28"/>
              </w:rPr>
              <w:t xml:space="preserve"> indemnizaţii</w:t>
            </w:r>
            <w:r w:rsidR="00411DB5">
              <w:rPr>
                <w:sz w:val="28"/>
                <w:szCs w:val="28"/>
              </w:rPr>
              <w:t>lor lunare</w:t>
            </w:r>
            <w:r w:rsidRPr="00A67B84">
              <w:rPr>
                <w:sz w:val="28"/>
                <w:szCs w:val="28"/>
              </w:rPr>
              <w:t xml:space="preserve"> </w:t>
            </w:r>
            <w:r w:rsidR="00411DB5">
              <w:rPr>
                <w:sz w:val="28"/>
                <w:szCs w:val="28"/>
              </w:rPr>
              <w:t>(%)</w:t>
            </w:r>
          </w:p>
        </w:tc>
      </w:tr>
      <w:tr w:rsidR="0007324A" w:rsidRPr="00F2363E" w14:paraId="04A92BB0" w14:textId="77777777" w:rsidTr="00920BA9">
        <w:trPr>
          <w:trHeight w:val="315"/>
        </w:trPr>
        <w:tc>
          <w:tcPr>
            <w:tcW w:w="75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663C1D" w14:textId="77777777" w:rsidR="0007324A" w:rsidRPr="00F2363E" w:rsidRDefault="0007324A" w:rsidP="00920BA9">
            <w:pPr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81CDB3C" w14:textId="77777777" w:rsidR="0007324A" w:rsidRPr="005B1546" w:rsidRDefault="0007324A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sub 1.000.000</w:t>
            </w:r>
          </w:p>
          <w:p w14:paraId="16135734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F052786" w14:textId="77777777" w:rsidR="0007324A" w:rsidRPr="005B1546" w:rsidRDefault="0007324A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</w:p>
          <w:p w14:paraId="03CA4462" w14:textId="5C373248" w:rsidR="0007324A" w:rsidRPr="005B1546" w:rsidRDefault="0007324A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1.000.00</w:t>
            </w:r>
            <w:r w:rsidR="00411DB5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 - 2.500.000</w:t>
            </w:r>
          </w:p>
          <w:p w14:paraId="01AE0B18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CEC40A2" w14:textId="6EBC2D72" w:rsidR="0007324A" w:rsidRPr="005B1546" w:rsidRDefault="0007324A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2.500.00</w:t>
            </w:r>
            <w:r w:rsidR="00411DB5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 - 5.000.000</w:t>
            </w:r>
          </w:p>
          <w:p w14:paraId="5E784112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65458B" w14:textId="5DA71B0A" w:rsidR="0007324A" w:rsidRPr="005B1546" w:rsidRDefault="0007324A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5.000.00</w:t>
            </w:r>
            <w:r w:rsidR="00411DB5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 - 10.000.000</w:t>
            </w:r>
          </w:p>
          <w:p w14:paraId="3629B346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CF4CBB" w14:textId="1DBF8F58" w:rsidR="0007324A" w:rsidRPr="005B1546" w:rsidRDefault="0007324A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10.000.00</w:t>
            </w:r>
            <w:r w:rsidR="00411DB5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 - 20.000.000</w:t>
            </w:r>
          </w:p>
          <w:p w14:paraId="43BFAD00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B5CB7A3" w14:textId="77777777" w:rsidR="0007324A" w:rsidRPr="005B1546" w:rsidRDefault="0007324A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peste 20.000.000</w:t>
            </w:r>
          </w:p>
          <w:p w14:paraId="1EFDAB81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</w:tr>
      <w:tr w:rsidR="0007324A" w:rsidRPr="00F2363E" w14:paraId="50E8FA6A" w14:textId="77777777" w:rsidTr="00920BA9">
        <w:trPr>
          <w:trHeight w:val="330"/>
        </w:trPr>
        <w:tc>
          <w:tcPr>
            <w:tcW w:w="75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FDBEC6" w14:textId="77777777" w:rsidR="0007324A" w:rsidRPr="00F2363E" w:rsidRDefault="0007324A" w:rsidP="00920BA9">
            <w:pPr>
              <w:rPr>
                <w:rFonts w:eastAsia="Times New Roman" w:cs="Calibri"/>
                <w:color w:val="000000"/>
                <w:lang w:eastAsia="ro-RO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8CA8D7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36240F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123921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266D20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3518B3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016E16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</w:tr>
      <w:tr w:rsidR="0007324A" w:rsidRPr="005B1546" w14:paraId="0655A38E" w14:textId="77777777" w:rsidTr="00920BA9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DB85BC" w14:textId="29FCB532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1 proiect</w:t>
            </w:r>
            <w:r w:rsidR="0007324A" w:rsidRPr="005B1546">
              <w:rPr>
                <w:rFonts w:eastAsia="Times New Roman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62CE0" w14:textId="3DA1B63C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5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47454" w14:textId="473E716E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15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F8405" w14:textId="59684E91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894EC" w14:textId="2AB89F5F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25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60B29" w14:textId="16E52311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D6ED2D" w14:textId="1F118D92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</w:tr>
      <w:tr w:rsidR="0007324A" w:rsidRPr="005B1546" w14:paraId="4F145468" w14:textId="77777777" w:rsidTr="00920BA9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7027A6" w14:textId="13DF6E5E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 proiecte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DD376" w14:textId="653621A4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10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62CA2" w14:textId="7F666D3A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B29BA" w14:textId="684CB766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25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CAD78" w14:textId="711A540C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</w:t>
            </w:r>
            <w:r w:rsidR="0007324A" w:rsidRPr="005B1546">
              <w:rPr>
                <w:rFonts w:eastAsia="Times New Roman" w:cs="Calibri"/>
                <w:color w:val="000000"/>
                <w:lang w:eastAsia="ro-RO"/>
              </w:rPr>
              <w:t>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7B9D3" w14:textId="5C7BACEF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35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809657" w14:textId="2993E412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</w:t>
            </w:r>
            <w:r w:rsidR="0007324A" w:rsidRPr="005B1546">
              <w:rPr>
                <w:rFonts w:eastAsia="Times New Roman" w:cs="Calibri"/>
                <w:color w:val="000000"/>
                <w:lang w:eastAsia="ro-RO"/>
              </w:rPr>
              <w:t>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</w:tr>
      <w:tr w:rsidR="0007324A" w:rsidRPr="005B1546" w14:paraId="6560A5D1" w14:textId="77777777" w:rsidTr="00920BA9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F6FA96" w14:textId="01C4D546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 proiecte</w:t>
            </w:r>
            <w:r w:rsidR="0007324A" w:rsidRPr="005B1546">
              <w:rPr>
                <w:rFonts w:eastAsia="Times New Roman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84067" w14:textId="12DA3B62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1</w:t>
            </w:r>
            <w:r w:rsidR="000D3C1E">
              <w:rPr>
                <w:rFonts w:eastAsia="Times New Roman" w:cs="Calibri"/>
                <w:color w:val="000000"/>
                <w:lang w:eastAsia="ro-RO"/>
              </w:rPr>
              <w:t>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BAF8C" w14:textId="5AE08490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25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A58B6" w14:textId="439E51E0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A2992" w14:textId="31B58E65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35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96570" w14:textId="30F64882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A5314A" w14:textId="2B12E7EB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0%</w:t>
            </w:r>
          </w:p>
        </w:tc>
      </w:tr>
      <w:tr w:rsidR="0007324A" w:rsidRPr="005B1546" w14:paraId="3ECE1E07" w14:textId="77777777" w:rsidTr="00920BA9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C63D22" w14:textId="19BECF53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 proiecte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42502" w14:textId="12C86839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C8788" w14:textId="2E58D92A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</w:t>
            </w:r>
            <w:r w:rsidR="0007324A" w:rsidRPr="005B1546">
              <w:rPr>
                <w:rFonts w:eastAsia="Times New Roman" w:cs="Calibri"/>
                <w:color w:val="000000"/>
                <w:lang w:eastAsia="ro-RO"/>
              </w:rPr>
              <w:t>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84305" w14:textId="471C8595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</w:t>
            </w:r>
            <w:r w:rsidR="0007324A" w:rsidRPr="005B1546">
              <w:rPr>
                <w:rFonts w:eastAsia="Times New Roman" w:cs="Calibri"/>
                <w:color w:val="000000"/>
                <w:lang w:eastAsia="ro-RO"/>
              </w:rPr>
              <w:t>5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161E" w14:textId="612C2C7F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6E1D" w14:textId="12E84CEF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663A0E" w14:textId="39D5DEEF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0%</w:t>
            </w:r>
          </w:p>
        </w:tc>
      </w:tr>
      <w:tr w:rsidR="0007324A" w:rsidRPr="005B1546" w14:paraId="22D8E599" w14:textId="77777777" w:rsidTr="00920BA9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62BE99" w14:textId="530C236E" w:rsidR="0007324A" w:rsidRPr="00F2363E" w:rsidRDefault="000D3C1E" w:rsidP="000D3C1E">
            <w:pPr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cel puțin 5 proiecte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6B511" w14:textId="7E760332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D43F0" w14:textId="28D40147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0%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42434" w14:textId="7DD76A80" w:rsidR="0007324A" w:rsidRPr="00F2363E" w:rsidRDefault="000D3C1E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40</w:t>
            </w:r>
            <w:r w:rsidR="0007324A"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DCCD0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40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70CF2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4</w:t>
            </w:r>
            <w:r>
              <w:rPr>
                <w:rFonts w:eastAsia="Times New Roman" w:cs="Calibri"/>
                <w:color w:val="000000"/>
                <w:lang w:eastAsia="ro-RO"/>
              </w:rPr>
              <w:t>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888166" w14:textId="77777777" w:rsidR="0007324A" w:rsidRPr="00F2363E" w:rsidRDefault="0007324A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0%</w:t>
            </w:r>
          </w:p>
        </w:tc>
      </w:tr>
    </w:tbl>
    <w:p w14:paraId="627DB9B2" w14:textId="77777777" w:rsidR="00411DB5" w:rsidRDefault="00411DB5" w:rsidP="00411DB5">
      <w:pPr>
        <w:pStyle w:val="NormalWeb"/>
        <w:spacing w:before="0" w:beforeAutospacing="0" w:after="0" w:afterAutospacing="0"/>
        <w:jc w:val="both"/>
        <w:rPr>
          <w:rFonts w:ascii="Trebuchet MS" w:eastAsiaTheme="minorHAnsi" w:hAnsi="Trebuchet MS" w:cstheme="minorBidi"/>
          <w:sz w:val="28"/>
          <w:szCs w:val="28"/>
          <w:lang w:val="ro-RO"/>
        </w:rPr>
      </w:pPr>
      <w:r w:rsidRPr="00411DB5">
        <w:rPr>
          <w:rFonts w:ascii="Trebuchet MS" w:eastAsiaTheme="minorHAnsi" w:hAnsi="Trebuchet MS" w:cstheme="minorBidi"/>
          <w:sz w:val="28"/>
          <w:szCs w:val="28"/>
          <w:lang w:val="ro-RO"/>
        </w:rPr>
        <w:lastRenderedPageBreak/>
        <w:t>B. Procentul de majorare a indemnizaţiilor lunare ale primarilor şi viceprimarilor comunelor care implementează proiecte finanţate din fonduri europene nerambursabile şi/sau fonduri externe rambursabile, precum şi prin Mecanismul de redresare şi rezilienţă</w:t>
      </w:r>
    </w:p>
    <w:p w14:paraId="693007ED" w14:textId="77777777" w:rsidR="00411DB5" w:rsidRPr="00411DB5" w:rsidRDefault="00411DB5" w:rsidP="00411DB5">
      <w:pPr>
        <w:pStyle w:val="NormalWeb"/>
        <w:spacing w:before="0" w:beforeAutospacing="0" w:after="0" w:afterAutospacing="0"/>
        <w:jc w:val="both"/>
        <w:rPr>
          <w:rFonts w:ascii="Trebuchet MS" w:eastAsiaTheme="minorHAnsi" w:hAnsi="Trebuchet MS" w:cstheme="minorBidi"/>
          <w:sz w:val="28"/>
          <w:szCs w:val="28"/>
          <w:lang w:val="ro-RO"/>
        </w:rPr>
      </w:pPr>
    </w:p>
    <w:p w14:paraId="0C49C014" w14:textId="77777777" w:rsidR="00411DB5" w:rsidRDefault="00411DB5" w:rsidP="00411DB5">
      <w:pPr>
        <w:pStyle w:val="HTMLPreformatted"/>
        <w:rPr>
          <w:sz w:val="18"/>
          <w:szCs w:val="18"/>
        </w:rPr>
      </w:pPr>
    </w:p>
    <w:tbl>
      <w:tblPr>
        <w:tblW w:w="5654" w:type="pct"/>
        <w:tblInd w:w="-436" w:type="dxa"/>
        <w:tblLayout w:type="fixed"/>
        <w:tblLook w:val="04A0" w:firstRow="1" w:lastRow="0" w:firstColumn="1" w:lastColumn="0" w:noHBand="0" w:noVBand="1"/>
      </w:tblPr>
      <w:tblGrid>
        <w:gridCol w:w="1614"/>
        <w:gridCol w:w="1274"/>
        <w:gridCol w:w="1445"/>
        <w:gridCol w:w="1440"/>
        <w:gridCol w:w="1442"/>
        <w:gridCol w:w="1733"/>
        <w:gridCol w:w="1737"/>
      </w:tblGrid>
      <w:tr w:rsidR="00411DB5" w:rsidRPr="00F2363E" w14:paraId="14D5FFD4" w14:textId="77777777" w:rsidTr="00920BA9">
        <w:trPr>
          <w:trHeight w:val="555"/>
        </w:trPr>
        <w:tc>
          <w:tcPr>
            <w:tcW w:w="7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  <w:noWrap/>
            <w:vAlign w:val="center"/>
            <w:hideMark/>
          </w:tcPr>
          <w:p w14:paraId="6AD82D2B" w14:textId="77777777" w:rsidR="00411DB5" w:rsidRPr="000D3C1E" w:rsidRDefault="00411DB5" w:rsidP="00920BA9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D3C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  <w:t>Valoarea cumulată a proiectelor</w:t>
            </w:r>
          </w:p>
          <w:p w14:paraId="0249BCF7" w14:textId="77777777" w:rsidR="00411DB5" w:rsidRPr="00986049" w:rsidRDefault="00411DB5" w:rsidP="00920BA9">
            <w:pPr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986049">
              <w:rPr>
                <w:rFonts w:eastAsia="Times New Roman" w:cs="Calibri"/>
                <w:b/>
                <w:bCs/>
                <w:color w:val="000000"/>
                <w:lang w:eastAsia="ro-RO"/>
              </w:rPr>
              <w:t>(lei)</w:t>
            </w:r>
          </w:p>
          <w:p w14:paraId="61E30A66" w14:textId="77777777" w:rsidR="00411DB5" w:rsidRPr="00986049" w:rsidRDefault="00411DB5" w:rsidP="00920BA9">
            <w:pPr>
              <w:jc w:val="right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</w:p>
          <w:p w14:paraId="5E12CD83" w14:textId="77777777" w:rsidR="00411DB5" w:rsidRPr="000D3C1E" w:rsidRDefault="00411DB5" w:rsidP="00920BA9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D3C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  <w:t xml:space="preserve">Număr </w:t>
            </w:r>
          </w:p>
          <w:p w14:paraId="61DCE660" w14:textId="06F40BFB" w:rsidR="00411DB5" w:rsidRDefault="00411DB5" w:rsidP="00920BA9">
            <w:pPr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  <w:t>p</w:t>
            </w:r>
            <w:r w:rsidRPr="000D3C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  <w:t xml:space="preserve">roiecte </w:t>
            </w:r>
          </w:p>
          <w:p w14:paraId="1262FEFF" w14:textId="6F6DC9A0" w:rsidR="00411DB5" w:rsidRPr="00F2363E" w:rsidRDefault="00411DB5" w:rsidP="00920BA9">
            <w:pPr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0D3C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o-RO"/>
              </w:rPr>
              <w:t>aflate în implementare</w:t>
            </w:r>
          </w:p>
        </w:tc>
        <w:tc>
          <w:tcPr>
            <w:tcW w:w="424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ADD3F65" w14:textId="1D81B861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sz w:val="36"/>
                <w:szCs w:val="36"/>
                <w:lang w:eastAsia="ro-RO"/>
              </w:rPr>
            </w:pPr>
            <w:r w:rsidRPr="00830F64">
              <w:rPr>
                <w:sz w:val="28"/>
                <w:szCs w:val="28"/>
              </w:rPr>
              <w:t>Procent</w:t>
            </w:r>
            <w:r w:rsidR="00CA29B5">
              <w:rPr>
                <w:sz w:val="28"/>
                <w:szCs w:val="28"/>
              </w:rPr>
              <w:t>ul de</w:t>
            </w:r>
            <w:r w:rsidRPr="00830F64">
              <w:rPr>
                <w:sz w:val="28"/>
                <w:szCs w:val="28"/>
              </w:rPr>
              <w:t xml:space="preserve"> majorare</w:t>
            </w:r>
            <w:r>
              <w:rPr>
                <w:sz w:val="28"/>
                <w:szCs w:val="28"/>
              </w:rPr>
              <w:t xml:space="preserve"> a</w:t>
            </w:r>
            <w:r w:rsidRPr="00A67B84">
              <w:rPr>
                <w:sz w:val="28"/>
                <w:szCs w:val="28"/>
              </w:rPr>
              <w:t xml:space="preserve"> indemnizaţii</w:t>
            </w:r>
            <w:r>
              <w:rPr>
                <w:sz w:val="28"/>
                <w:szCs w:val="28"/>
              </w:rPr>
              <w:t>lor lunare</w:t>
            </w:r>
            <w:r w:rsidRPr="00A67B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</w:p>
        </w:tc>
      </w:tr>
      <w:tr w:rsidR="00411DB5" w:rsidRPr="00F2363E" w14:paraId="5D12D259" w14:textId="77777777" w:rsidTr="00920BA9">
        <w:trPr>
          <w:trHeight w:val="315"/>
        </w:trPr>
        <w:tc>
          <w:tcPr>
            <w:tcW w:w="75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C41E7C" w14:textId="77777777" w:rsidR="00411DB5" w:rsidRPr="00F2363E" w:rsidRDefault="00411DB5" w:rsidP="00920BA9">
            <w:pPr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FE7DD8" w14:textId="77777777" w:rsidR="00411DB5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Sub</w:t>
            </w:r>
          </w:p>
          <w:p w14:paraId="2ED27D46" w14:textId="30CE5779" w:rsidR="00411DB5" w:rsidRPr="005B1546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500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.000</w:t>
            </w:r>
          </w:p>
          <w:p w14:paraId="5C1CB494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4487CEA" w14:textId="77777777" w:rsidR="00411DB5" w:rsidRPr="005B1546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</w:p>
          <w:p w14:paraId="7BECED1A" w14:textId="2D9FAC61" w:rsidR="00411DB5" w:rsidRPr="005B1546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500.001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–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1.0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00.000</w:t>
            </w:r>
          </w:p>
          <w:p w14:paraId="4B510551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45CC77" w14:textId="530A2022" w:rsidR="00411DB5" w:rsidRPr="005B1546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1.0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00.00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 -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2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.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5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00.000</w:t>
            </w:r>
          </w:p>
          <w:p w14:paraId="56C1DB7A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0DC709" w14:textId="28095F11" w:rsidR="00411DB5" w:rsidRPr="005B1546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2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.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5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00.00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 -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5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.000.000</w:t>
            </w:r>
          </w:p>
          <w:p w14:paraId="39999DCE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547B323" w14:textId="64A903AA" w:rsidR="00411DB5" w:rsidRPr="005B1546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5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.000.00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 -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0.000.000</w:t>
            </w:r>
          </w:p>
          <w:p w14:paraId="3AB0349C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4DF17EC" w14:textId="39CA0D86" w:rsidR="00411DB5" w:rsidRPr="005B1546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 xml:space="preserve">peste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1</w:t>
            </w:r>
            <w:r w:rsidRPr="00F2363E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0.000.000</w:t>
            </w:r>
          </w:p>
          <w:p w14:paraId="4DA564A4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sz w:val="22"/>
                <w:szCs w:val="22"/>
                <w:lang w:eastAsia="ro-RO"/>
              </w:rPr>
              <w:t>(lei)</w:t>
            </w:r>
          </w:p>
        </w:tc>
      </w:tr>
      <w:tr w:rsidR="00411DB5" w:rsidRPr="00F2363E" w14:paraId="62092751" w14:textId="77777777" w:rsidTr="00920BA9">
        <w:trPr>
          <w:trHeight w:val="330"/>
        </w:trPr>
        <w:tc>
          <w:tcPr>
            <w:tcW w:w="75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1C9A51" w14:textId="77777777" w:rsidR="00411DB5" w:rsidRPr="00F2363E" w:rsidRDefault="00411DB5" w:rsidP="00920BA9">
            <w:pPr>
              <w:rPr>
                <w:rFonts w:eastAsia="Times New Roman" w:cs="Calibri"/>
                <w:color w:val="000000"/>
                <w:lang w:eastAsia="ro-RO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58E42E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366884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546572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C4C0EC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29F6F9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F4951C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F2363E">
              <w:rPr>
                <w:rFonts w:eastAsia="Times New Roman" w:cs="Calibri"/>
                <w:color w:val="000000"/>
                <w:lang w:eastAsia="ro-RO"/>
              </w:rPr>
              <w:t> </w:t>
            </w:r>
          </w:p>
        </w:tc>
      </w:tr>
      <w:tr w:rsidR="00411DB5" w:rsidRPr="005B1546" w14:paraId="1B4162AE" w14:textId="77777777" w:rsidTr="00920BA9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362798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1 proiect</w:t>
            </w:r>
            <w:r w:rsidRPr="005B1546">
              <w:rPr>
                <w:rFonts w:eastAsia="Times New Roman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9AB89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6A540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15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E531A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6F7E5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0D1CC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6D757E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</w:tr>
      <w:tr w:rsidR="00411DB5" w:rsidRPr="005B1546" w14:paraId="56330975" w14:textId="77777777" w:rsidTr="00920BA9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736316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 proiecte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D0D7A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10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AA391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1A586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7FA31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</w:t>
            </w:r>
            <w:r w:rsidRPr="005B1546">
              <w:rPr>
                <w:rFonts w:eastAsia="Times New Roman" w:cs="Calibri"/>
                <w:color w:val="000000"/>
                <w:lang w:eastAsia="ro-RO"/>
              </w:rPr>
              <w:t>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614F2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AE7E61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</w:t>
            </w:r>
            <w:r w:rsidRPr="005B1546">
              <w:rPr>
                <w:rFonts w:eastAsia="Times New Roman" w:cs="Calibri"/>
                <w:color w:val="000000"/>
                <w:lang w:eastAsia="ro-RO"/>
              </w:rPr>
              <w:t>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</w:tr>
      <w:tr w:rsidR="00411DB5" w:rsidRPr="005B1546" w14:paraId="2217EE3A" w14:textId="77777777" w:rsidTr="00920BA9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FEAC82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 proiecte</w:t>
            </w:r>
            <w:r w:rsidRPr="005B1546">
              <w:rPr>
                <w:rFonts w:eastAsia="Times New Roman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D03B8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1</w:t>
            </w:r>
            <w:r>
              <w:rPr>
                <w:rFonts w:eastAsia="Times New Roman" w:cs="Calibri"/>
                <w:color w:val="000000"/>
                <w:lang w:eastAsia="ro-RO"/>
              </w:rPr>
              <w:t>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4737F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BE2E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FCBE4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DDA39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9981DE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0%</w:t>
            </w:r>
          </w:p>
        </w:tc>
      </w:tr>
      <w:tr w:rsidR="00411DB5" w:rsidRPr="005B1546" w14:paraId="42D1EDB6" w14:textId="77777777" w:rsidTr="00920BA9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1AF2FA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 proiecte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8145F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20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25928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</w:t>
            </w:r>
            <w:r w:rsidRPr="005B1546">
              <w:rPr>
                <w:rFonts w:eastAsia="Times New Roman" w:cs="Calibri"/>
                <w:color w:val="000000"/>
                <w:lang w:eastAsia="ro-RO"/>
              </w:rPr>
              <w:t>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3026F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3</w:t>
            </w:r>
            <w:r w:rsidRPr="005B1546">
              <w:rPr>
                <w:rFonts w:eastAsia="Times New Roman" w:cs="Calibri"/>
                <w:color w:val="000000"/>
                <w:lang w:eastAsia="ro-RO"/>
              </w:rPr>
              <w:t>5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1514A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84C31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2FB224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0%</w:t>
            </w:r>
          </w:p>
        </w:tc>
      </w:tr>
      <w:tr w:rsidR="00411DB5" w:rsidRPr="005B1546" w14:paraId="19D30B3A" w14:textId="77777777" w:rsidTr="00920BA9">
        <w:trPr>
          <w:trHeight w:val="300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9948C5" w14:textId="77777777" w:rsidR="00411DB5" w:rsidRPr="00F2363E" w:rsidRDefault="00411DB5" w:rsidP="00920BA9">
            <w:pPr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cel puțin 5 proiecte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96564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36D2A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0%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FDB2B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7E4A6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40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BA0F3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 w:rsidRPr="005B1546">
              <w:rPr>
                <w:rFonts w:eastAsia="Times New Roman" w:cs="Calibri"/>
                <w:color w:val="000000"/>
                <w:lang w:eastAsia="ro-RO"/>
              </w:rPr>
              <w:t>4</w:t>
            </w:r>
            <w:r>
              <w:rPr>
                <w:rFonts w:eastAsia="Times New Roman" w:cs="Calibri"/>
                <w:color w:val="000000"/>
                <w:lang w:eastAsia="ro-RO"/>
              </w:rPr>
              <w:t>0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%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BA72CD" w14:textId="77777777" w:rsidR="00411DB5" w:rsidRPr="00F2363E" w:rsidRDefault="00411DB5" w:rsidP="00920BA9">
            <w:pPr>
              <w:jc w:val="center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4</w:t>
            </w:r>
            <w:r w:rsidRPr="00F2363E">
              <w:rPr>
                <w:rFonts w:eastAsia="Times New Roman" w:cs="Calibri"/>
                <w:color w:val="000000"/>
                <w:lang w:eastAsia="ro-RO"/>
              </w:rPr>
              <w:t>0%</w:t>
            </w:r>
          </w:p>
        </w:tc>
      </w:tr>
    </w:tbl>
    <w:p w14:paraId="29518860" w14:textId="77777777" w:rsidR="0007324A" w:rsidRPr="0007324A" w:rsidRDefault="0007324A" w:rsidP="0007324A">
      <w:pPr>
        <w:pStyle w:val="NormalWeb"/>
        <w:spacing w:before="0" w:beforeAutospacing="0" w:after="0" w:afterAutospacing="0"/>
        <w:jc w:val="both"/>
        <w:rPr>
          <w:rFonts w:ascii="Trebuchet MS" w:eastAsiaTheme="minorHAnsi" w:hAnsi="Trebuchet MS" w:cstheme="minorBidi"/>
          <w:sz w:val="28"/>
          <w:szCs w:val="28"/>
          <w:lang w:val="ro-RO"/>
        </w:rPr>
      </w:pPr>
    </w:p>
    <w:bookmarkEnd w:id="4"/>
    <w:p w14:paraId="33267561" w14:textId="77777777" w:rsidR="0007324A" w:rsidRPr="0007324A" w:rsidRDefault="0007324A" w:rsidP="0007324A">
      <w:pPr>
        <w:spacing w:after="120"/>
        <w:ind w:left="-284" w:firstLine="644"/>
        <w:jc w:val="right"/>
        <w:rPr>
          <w:rFonts w:eastAsiaTheme="minorEastAsia" w:cs="Times New Roman"/>
          <w:b/>
          <w:bCs/>
          <w:sz w:val="28"/>
          <w:szCs w:val="28"/>
        </w:rPr>
      </w:pPr>
    </w:p>
    <w:sectPr w:rsidR="0007324A" w:rsidRPr="0007324A" w:rsidSect="00411DB5">
      <w:pgSz w:w="11906" w:h="16838"/>
      <w:pgMar w:top="964" w:right="1133" w:bottom="96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5DAFA" w14:textId="77777777" w:rsidR="007C7070" w:rsidRDefault="007C7070" w:rsidP="00BF03AE">
      <w:r>
        <w:separator/>
      </w:r>
    </w:p>
  </w:endnote>
  <w:endnote w:type="continuationSeparator" w:id="0">
    <w:p w14:paraId="274EEAF7" w14:textId="77777777" w:rsidR="007C7070" w:rsidRDefault="007C7070" w:rsidP="00BF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26AD6" w14:textId="77777777" w:rsidR="007C7070" w:rsidRDefault="007C7070" w:rsidP="00BF03AE">
      <w:r>
        <w:separator/>
      </w:r>
    </w:p>
  </w:footnote>
  <w:footnote w:type="continuationSeparator" w:id="0">
    <w:p w14:paraId="29F1B263" w14:textId="77777777" w:rsidR="007C7070" w:rsidRDefault="007C7070" w:rsidP="00BF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1692"/>
    <w:multiLevelType w:val="hybridMultilevel"/>
    <w:tmpl w:val="BCAEE3C8"/>
    <w:lvl w:ilvl="0" w:tplc="483C7D6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7004"/>
    <w:multiLevelType w:val="hybridMultilevel"/>
    <w:tmpl w:val="5FE2F79E"/>
    <w:lvl w:ilvl="0" w:tplc="B97A2296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1F4E"/>
    <w:multiLevelType w:val="hybridMultilevel"/>
    <w:tmpl w:val="21AAC736"/>
    <w:lvl w:ilvl="0" w:tplc="90E875F2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64779"/>
    <w:multiLevelType w:val="hybridMultilevel"/>
    <w:tmpl w:val="2C24B9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177C0"/>
    <w:multiLevelType w:val="hybridMultilevel"/>
    <w:tmpl w:val="0D642E0A"/>
    <w:lvl w:ilvl="0" w:tplc="022EED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6E"/>
    <w:rsid w:val="00007745"/>
    <w:rsid w:val="00052C4A"/>
    <w:rsid w:val="0007324A"/>
    <w:rsid w:val="000B0DAA"/>
    <w:rsid w:val="000B3D82"/>
    <w:rsid w:val="000C5C88"/>
    <w:rsid w:val="000D3C1E"/>
    <w:rsid w:val="000F0F28"/>
    <w:rsid w:val="00121ABF"/>
    <w:rsid w:val="00181D6C"/>
    <w:rsid w:val="001A4F1E"/>
    <w:rsid w:val="001B2238"/>
    <w:rsid w:val="001B3131"/>
    <w:rsid w:val="001B56E4"/>
    <w:rsid w:val="001D420A"/>
    <w:rsid w:val="0021272B"/>
    <w:rsid w:val="00254D87"/>
    <w:rsid w:val="002C5A14"/>
    <w:rsid w:val="002F256E"/>
    <w:rsid w:val="00330602"/>
    <w:rsid w:val="00343688"/>
    <w:rsid w:val="00351653"/>
    <w:rsid w:val="00357B9C"/>
    <w:rsid w:val="003851F3"/>
    <w:rsid w:val="003B7F5A"/>
    <w:rsid w:val="003E373E"/>
    <w:rsid w:val="00401C4D"/>
    <w:rsid w:val="00411DB5"/>
    <w:rsid w:val="00421ECF"/>
    <w:rsid w:val="00425290"/>
    <w:rsid w:val="00427FC5"/>
    <w:rsid w:val="004447EC"/>
    <w:rsid w:val="0046396B"/>
    <w:rsid w:val="004A625E"/>
    <w:rsid w:val="004C1848"/>
    <w:rsid w:val="004C28D3"/>
    <w:rsid w:val="004E21E2"/>
    <w:rsid w:val="004E5EA8"/>
    <w:rsid w:val="00541619"/>
    <w:rsid w:val="005A0D4A"/>
    <w:rsid w:val="005B1546"/>
    <w:rsid w:val="005B1CA8"/>
    <w:rsid w:val="005D1B66"/>
    <w:rsid w:val="005E17A9"/>
    <w:rsid w:val="005E6FCF"/>
    <w:rsid w:val="00613186"/>
    <w:rsid w:val="006205C2"/>
    <w:rsid w:val="00622B14"/>
    <w:rsid w:val="00644A6E"/>
    <w:rsid w:val="00663198"/>
    <w:rsid w:val="00684386"/>
    <w:rsid w:val="006E658B"/>
    <w:rsid w:val="00732796"/>
    <w:rsid w:val="007B3980"/>
    <w:rsid w:val="007C7070"/>
    <w:rsid w:val="007E52F1"/>
    <w:rsid w:val="00805801"/>
    <w:rsid w:val="00806038"/>
    <w:rsid w:val="00830F64"/>
    <w:rsid w:val="00847FB4"/>
    <w:rsid w:val="00872157"/>
    <w:rsid w:val="00896079"/>
    <w:rsid w:val="008E3C30"/>
    <w:rsid w:val="008F2BEB"/>
    <w:rsid w:val="009024C6"/>
    <w:rsid w:val="009155C2"/>
    <w:rsid w:val="00925B20"/>
    <w:rsid w:val="00965F1F"/>
    <w:rsid w:val="00984C72"/>
    <w:rsid w:val="00997042"/>
    <w:rsid w:val="009A2316"/>
    <w:rsid w:val="009B5BC1"/>
    <w:rsid w:val="009D0B41"/>
    <w:rsid w:val="009D34FE"/>
    <w:rsid w:val="009E2F3E"/>
    <w:rsid w:val="00A26286"/>
    <w:rsid w:val="00A771F6"/>
    <w:rsid w:val="00A94330"/>
    <w:rsid w:val="00AC23B6"/>
    <w:rsid w:val="00B06A6E"/>
    <w:rsid w:val="00B36A6D"/>
    <w:rsid w:val="00BC02A5"/>
    <w:rsid w:val="00BD3FDE"/>
    <w:rsid w:val="00BF03AE"/>
    <w:rsid w:val="00C228A8"/>
    <w:rsid w:val="00C36216"/>
    <w:rsid w:val="00C57141"/>
    <w:rsid w:val="00C64C41"/>
    <w:rsid w:val="00C6510C"/>
    <w:rsid w:val="00C876F9"/>
    <w:rsid w:val="00C93D95"/>
    <w:rsid w:val="00CA29B5"/>
    <w:rsid w:val="00CC5360"/>
    <w:rsid w:val="00D12DD7"/>
    <w:rsid w:val="00D53777"/>
    <w:rsid w:val="00D712B1"/>
    <w:rsid w:val="00D82E78"/>
    <w:rsid w:val="00D86C57"/>
    <w:rsid w:val="00D9240A"/>
    <w:rsid w:val="00DA580C"/>
    <w:rsid w:val="00DF1BA5"/>
    <w:rsid w:val="00E06042"/>
    <w:rsid w:val="00E07D85"/>
    <w:rsid w:val="00E11F1F"/>
    <w:rsid w:val="00E12749"/>
    <w:rsid w:val="00E403AB"/>
    <w:rsid w:val="00E451BA"/>
    <w:rsid w:val="00E53B41"/>
    <w:rsid w:val="00E8163C"/>
    <w:rsid w:val="00EB52D4"/>
    <w:rsid w:val="00F02AF9"/>
    <w:rsid w:val="00F03A2C"/>
    <w:rsid w:val="00F045BE"/>
    <w:rsid w:val="00F33126"/>
    <w:rsid w:val="00F70514"/>
    <w:rsid w:val="00FC414F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132B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4"/>
        <w:szCs w:val="24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AF9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3B7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F5A"/>
    <w:pPr>
      <w:ind w:left="720"/>
      <w:contextualSpacing/>
    </w:pPr>
  </w:style>
  <w:style w:type="character" w:customStyle="1" w:styleId="slitttl">
    <w:name w:val="s_lit_ttl"/>
    <w:basedOn w:val="DefaultParagraphFont"/>
    <w:rsid w:val="009B5BC1"/>
  </w:style>
  <w:style w:type="character" w:customStyle="1" w:styleId="slitbdy">
    <w:name w:val="s_lit_bdy"/>
    <w:basedOn w:val="DefaultParagraphFont"/>
    <w:rsid w:val="009B5BC1"/>
  </w:style>
  <w:style w:type="paragraph" w:styleId="Header">
    <w:name w:val="header"/>
    <w:basedOn w:val="Normal"/>
    <w:link w:val="HeaderChar"/>
    <w:uiPriority w:val="99"/>
    <w:unhideWhenUsed/>
    <w:rsid w:val="00BF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3A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F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3AE"/>
    <w:rPr>
      <w:noProof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1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DB5"/>
    <w:rPr>
      <w:rFonts w:ascii="Courier New" w:eastAsiaTheme="minorEastAsia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8238</Characters>
  <Application>Microsoft Office Word</Application>
  <DocSecurity>0</DocSecurity>
  <Lines>374</Lines>
  <Paragraphs>229</Paragraphs>
  <ScaleCrop>false</ScaleCrop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2025-08-06T11:28:00Z</dcterms:created>
  <dcterms:modified xsi:type="dcterms:W3CDTF">2025-08-06T11:28:00Z</dcterms:modified>
</cp:coreProperties>
</file>