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46" w:rsidRDefault="001A37AE">
      <w:pPr>
        <w:pStyle w:val="Heading1"/>
      </w:pPr>
      <w:proofErr w:type="spellStart"/>
      <w:r>
        <w:t>Procentaj</w:t>
      </w:r>
      <w:r w:rsidR="00326403">
        <w:t>ul</w:t>
      </w:r>
      <w:proofErr w:type="spellEnd"/>
      <w:r w:rsidR="00326403">
        <w:t xml:space="preserve"> </w:t>
      </w:r>
      <w:proofErr w:type="spellStart"/>
      <w:r w:rsidR="00326403">
        <w:t>anual</w:t>
      </w:r>
      <w:proofErr w:type="spellEnd"/>
      <w:r w:rsidR="00326403">
        <w:t xml:space="preserve"> al</w:t>
      </w:r>
      <w:r>
        <w:t xml:space="preserve"> </w:t>
      </w:r>
      <w:proofErr w:type="spellStart"/>
      <w:r w:rsidR="00326403">
        <w:t>d</w:t>
      </w:r>
      <w:r>
        <w:t>econturi</w:t>
      </w:r>
      <w:r w:rsidR="00326403">
        <w:t>lor</w:t>
      </w:r>
      <w:proofErr w:type="spellEnd"/>
      <w:r>
        <w:t xml:space="preserve"> </w:t>
      </w:r>
      <w:r w:rsidR="00326403">
        <w:t xml:space="preserve">de </w:t>
      </w:r>
      <w:r>
        <w:t>TVA</w:t>
      </w:r>
      <w:r w:rsidR="00326403">
        <w:t xml:space="preserve"> </w:t>
      </w:r>
      <w:proofErr w:type="spellStart"/>
      <w:r w:rsidR="00326403">
        <w:t>după</w:t>
      </w:r>
      <w:proofErr w:type="spellEnd"/>
      <w:r w:rsidR="00326403">
        <w:t xml:space="preserve"> status</w:t>
      </w:r>
      <w:r>
        <w:t xml:space="preserve"> (2015-2024)</w:t>
      </w:r>
    </w:p>
    <w:p w:rsidR="00326403" w:rsidRPr="00326403" w:rsidRDefault="00326403" w:rsidP="003264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B3246">
        <w:tc>
          <w:tcPr>
            <w:tcW w:w="2160" w:type="dxa"/>
          </w:tcPr>
          <w:p w:rsidR="009B3246" w:rsidRPr="00326403" w:rsidRDefault="001A37AE">
            <w:pPr>
              <w:rPr>
                <w:b/>
              </w:rPr>
            </w:pPr>
            <w:r w:rsidRPr="00326403">
              <w:rPr>
                <w:b/>
              </w:rPr>
              <w:t>An</w:t>
            </w:r>
          </w:p>
        </w:tc>
        <w:tc>
          <w:tcPr>
            <w:tcW w:w="2160" w:type="dxa"/>
          </w:tcPr>
          <w:p w:rsidR="009B3246" w:rsidRPr="00326403" w:rsidRDefault="001A37AE">
            <w:pPr>
              <w:rPr>
                <w:b/>
              </w:rPr>
            </w:pPr>
            <w:r w:rsidRPr="00326403">
              <w:rPr>
                <w:b/>
              </w:rPr>
              <w:t>% În Termen</w:t>
            </w:r>
          </w:p>
        </w:tc>
        <w:tc>
          <w:tcPr>
            <w:tcW w:w="2160" w:type="dxa"/>
          </w:tcPr>
          <w:p w:rsidR="009B3246" w:rsidRPr="00326403" w:rsidRDefault="001A37AE">
            <w:pPr>
              <w:rPr>
                <w:b/>
              </w:rPr>
            </w:pPr>
            <w:r w:rsidRPr="00326403">
              <w:rPr>
                <w:b/>
              </w:rPr>
              <w:t>% Suspendate</w:t>
            </w:r>
          </w:p>
        </w:tc>
        <w:tc>
          <w:tcPr>
            <w:tcW w:w="2160" w:type="dxa"/>
          </w:tcPr>
          <w:p w:rsidR="009B3246" w:rsidRPr="00326403" w:rsidRDefault="001A37AE">
            <w:pPr>
              <w:rPr>
                <w:b/>
              </w:rPr>
            </w:pPr>
            <w:r w:rsidRPr="00326403">
              <w:rPr>
                <w:b/>
              </w:rPr>
              <w:t>% Întârziate</w:t>
            </w:r>
          </w:p>
        </w:tc>
      </w:tr>
      <w:tr w:rsidR="009B3246">
        <w:tc>
          <w:tcPr>
            <w:tcW w:w="2160" w:type="dxa"/>
          </w:tcPr>
          <w:p w:rsidR="009B3246" w:rsidRPr="00326403" w:rsidRDefault="001A37AE">
            <w:pPr>
              <w:rPr>
                <w:b/>
              </w:rPr>
            </w:pPr>
            <w:r w:rsidRPr="00326403">
              <w:rPr>
                <w:b/>
              </w:rPr>
              <w:t>2015</w:t>
            </w:r>
          </w:p>
        </w:tc>
        <w:tc>
          <w:tcPr>
            <w:tcW w:w="2160" w:type="dxa"/>
          </w:tcPr>
          <w:p w:rsidR="009B3246" w:rsidRDefault="001A37AE">
            <w:r>
              <w:t>81.45%</w:t>
            </w:r>
          </w:p>
        </w:tc>
        <w:tc>
          <w:tcPr>
            <w:tcW w:w="2160" w:type="dxa"/>
          </w:tcPr>
          <w:p w:rsidR="009B3246" w:rsidRDefault="001A37AE">
            <w:r>
              <w:t>2.76%</w:t>
            </w:r>
          </w:p>
        </w:tc>
        <w:tc>
          <w:tcPr>
            <w:tcW w:w="2160" w:type="dxa"/>
          </w:tcPr>
          <w:p w:rsidR="009B3246" w:rsidRDefault="001A37AE" w:rsidP="00617872">
            <w:r>
              <w:t>15.7</w:t>
            </w:r>
            <w:r w:rsidR="00617872">
              <w:t>8</w:t>
            </w:r>
            <w:r>
              <w:t>%</w:t>
            </w:r>
          </w:p>
        </w:tc>
      </w:tr>
      <w:tr w:rsidR="009B3246">
        <w:tc>
          <w:tcPr>
            <w:tcW w:w="2160" w:type="dxa"/>
          </w:tcPr>
          <w:p w:rsidR="009B3246" w:rsidRPr="00326403" w:rsidRDefault="001A37AE">
            <w:pPr>
              <w:rPr>
                <w:b/>
              </w:rPr>
            </w:pPr>
            <w:r w:rsidRPr="00326403">
              <w:rPr>
                <w:b/>
              </w:rPr>
              <w:t>2016</w:t>
            </w:r>
          </w:p>
        </w:tc>
        <w:tc>
          <w:tcPr>
            <w:tcW w:w="2160" w:type="dxa"/>
          </w:tcPr>
          <w:p w:rsidR="009B3246" w:rsidRDefault="001A37AE">
            <w:r>
              <w:t>82.18%</w:t>
            </w:r>
          </w:p>
        </w:tc>
        <w:tc>
          <w:tcPr>
            <w:tcW w:w="2160" w:type="dxa"/>
          </w:tcPr>
          <w:p w:rsidR="009B3246" w:rsidRDefault="001A37AE" w:rsidP="00617872">
            <w:r>
              <w:t>2.0</w:t>
            </w:r>
            <w:r w:rsidR="00617872">
              <w:t>0</w:t>
            </w:r>
            <w:r>
              <w:t>%</w:t>
            </w:r>
          </w:p>
        </w:tc>
        <w:tc>
          <w:tcPr>
            <w:tcW w:w="2160" w:type="dxa"/>
          </w:tcPr>
          <w:p w:rsidR="009B3246" w:rsidRDefault="001A37AE" w:rsidP="00617872">
            <w:r>
              <w:t>15.8</w:t>
            </w:r>
            <w:r w:rsidR="00617872">
              <w:t>0</w:t>
            </w:r>
            <w:r>
              <w:t>%</w:t>
            </w:r>
          </w:p>
        </w:tc>
      </w:tr>
      <w:tr w:rsidR="009B3246">
        <w:tc>
          <w:tcPr>
            <w:tcW w:w="2160" w:type="dxa"/>
          </w:tcPr>
          <w:p w:rsidR="009B3246" w:rsidRPr="00326403" w:rsidRDefault="001A37AE">
            <w:pPr>
              <w:rPr>
                <w:b/>
              </w:rPr>
            </w:pPr>
            <w:r w:rsidRPr="00326403">
              <w:rPr>
                <w:b/>
              </w:rPr>
              <w:t>2017</w:t>
            </w:r>
          </w:p>
        </w:tc>
        <w:tc>
          <w:tcPr>
            <w:tcW w:w="2160" w:type="dxa"/>
          </w:tcPr>
          <w:p w:rsidR="009B3246" w:rsidRDefault="001A37AE">
            <w:r>
              <w:t>71.20%</w:t>
            </w:r>
          </w:p>
        </w:tc>
        <w:tc>
          <w:tcPr>
            <w:tcW w:w="2160" w:type="dxa"/>
          </w:tcPr>
          <w:p w:rsidR="009B3246" w:rsidRDefault="001A37AE">
            <w:r>
              <w:t>0.56%</w:t>
            </w:r>
          </w:p>
        </w:tc>
        <w:tc>
          <w:tcPr>
            <w:tcW w:w="2160" w:type="dxa"/>
          </w:tcPr>
          <w:p w:rsidR="009B3246" w:rsidRDefault="001A37AE">
            <w:r>
              <w:t>28.23%</w:t>
            </w:r>
          </w:p>
        </w:tc>
      </w:tr>
      <w:tr w:rsidR="009B3246">
        <w:tc>
          <w:tcPr>
            <w:tcW w:w="2160" w:type="dxa"/>
          </w:tcPr>
          <w:p w:rsidR="009B3246" w:rsidRPr="00326403" w:rsidRDefault="001A37AE">
            <w:pPr>
              <w:rPr>
                <w:b/>
              </w:rPr>
            </w:pPr>
            <w:r w:rsidRPr="00326403">
              <w:rPr>
                <w:b/>
              </w:rPr>
              <w:t>2018</w:t>
            </w:r>
          </w:p>
        </w:tc>
        <w:tc>
          <w:tcPr>
            <w:tcW w:w="2160" w:type="dxa"/>
          </w:tcPr>
          <w:p w:rsidR="009B3246" w:rsidRDefault="00617872">
            <w:r>
              <w:t>73.92</w:t>
            </w:r>
            <w:r w:rsidR="001A37AE">
              <w:t>%</w:t>
            </w:r>
          </w:p>
        </w:tc>
        <w:tc>
          <w:tcPr>
            <w:tcW w:w="2160" w:type="dxa"/>
          </w:tcPr>
          <w:p w:rsidR="009B3246" w:rsidRDefault="00617872">
            <w:r>
              <w:t>0.72</w:t>
            </w:r>
            <w:r w:rsidR="001A37AE">
              <w:t>%</w:t>
            </w:r>
          </w:p>
        </w:tc>
        <w:tc>
          <w:tcPr>
            <w:tcW w:w="2160" w:type="dxa"/>
          </w:tcPr>
          <w:p w:rsidR="009B3246" w:rsidRDefault="00617872">
            <w:r>
              <w:t>25.34</w:t>
            </w:r>
            <w:r w:rsidR="001A37AE">
              <w:t>%</w:t>
            </w:r>
          </w:p>
        </w:tc>
      </w:tr>
      <w:tr w:rsidR="009B3246">
        <w:tc>
          <w:tcPr>
            <w:tcW w:w="2160" w:type="dxa"/>
          </w:tcPr>
          <w:p w:rsidR="009B3246" w:rsidRPr="00326403" w:rsidRDefault="001A37AE">
            <w:pPr>
              <w:rPr>
                <w:b/>
              </w:rPr>
            </w:pPr>
            <w:r w:rsidRPr="00326403">
              <w:rPr>
                <w:b/>
              </w:rPr>
              <w:t>2019</w:t>
            </w:r>
          </w:p>
        </w:tc>
        <w:tc>
          <w:tcPr>
            <w:tcW w:w="2160" w:type="dxa"/>
          </w:tcPr>
          <w:p w:rsidR="009B3246" w:rsidRDefault="001A37AE">
            <w:r>
              <w:t>66.45%</w:t>
            </w:r>
          </w:p>
        </w:tc>
        <w:tc>
          <w:tcPr>
            <w:tcW w:w="2160" w:type="dxa"/>
          </w:tcPr>
          <w:p w:rsidR="009B3246" w:rsidRDefault="001A37AE">
            <w:r>
              <w:t>0.65%</w:t>
            </w:r>
          </w:p>
        </w:tc>
        <w:tc>
          <w:tcPr>
            <w:tcW w:w="2160" w:type="dxa"/>
          </w:tcPr>
          <w:p w:rsidR="009B3246" w:rsidRDefault="001A37AE">
            <w:r>
              <w:t>32.89%</w:t>
            </w:r>
          </w:p>
        </w:tc>
      </w:tr>
      <w:tr w:rsidR="009B3246">
        <w:tc>
          <w:tcPr>
            <w:tcW w:w="2160" w:type="dxa"/>
          </w:tcPr>
          <w:p w:rsidR="009B3246" w:rsidRPr="00326403" w:rsidRDefault="001A37AE">
            <w:pPr>
              <w:rPr>
                <w:b/>
              </w:rPr>
            </w:pPr>
            <w:r w:rsidRPr="00326403">
              <w:rPr>
                <w:b/>
              </w:rPr>
              <w:t>2020</w:t>
            </w:r>
          </w:p>
        </w:tc>
        <w:tc>
          <w:tcPr>
            <w:tcW w:w="2160" w:type="dxa"/>
          </w:tcPr>
          <w:p w:rsidR="009B3246" w:rsidRDefault="00617872">
            <w:r>
              <w:t>60.22</w:t>
            </w:r>
            <w:r w:rsidR="001A37AE">
              <w:t>%</w:t>
            </w:r>
          </w:p>
        </w:tc>
        <w:tc>
          <w:tcPr>
            <w:tcW w:w="2160" w:type="dxa"/>
          </w:tcPr>
          <w:p w:rsidR="009B3246" w:rsidRDefault="00617872">
            <w:r>
              <w:t>0.72</w:t>
            </w:r>
            <w:r w:rsidR="001A37AE">
              <w:t>%</w:t>
            </w:r>
          </w:p>
        </w:tc>
        <w:tc>
          <w:tcPr>
            <w:tcW w:w="2160" w:type="dxa"/>
          </w:tcPr>
          <w:p w:rsidR="009B3246" w:rsidRDefault="001A37AE">
            <w:r>
              <w:t>39.04%</w:t>
            </w:r>
          </w:p>
        </w:tc>
      </w:tr>
      <w:tr w:rsidR="009B3246">
        <w:tc>
          <w:tcPr>
            <w:tcW w:w="2160" w:type="dxa"/>
          </w:tcPr>
          <w:p w:rsidR="009B3246" w:rsidRPr="00326403" w:rsidRDefault="001A37AE">
            <w:pPr>
              <w:rPr>
                <w:b/>
              </w:rPr>
            </w:pPr>
            <w:r w:rsidRPr="00326403">
              <w:rPr>
                <w:b/>
              </w:rPr>
              <w:t>2021</w:t>
            </w:r>
          </w:p>
        </w:tc>
        <w:tc>
          <w:tcPr>
            <w:tcW w:w="2160" w:type="dxa"/>
          </w:tcPr>
          <w:p w:rsidR="009B3246" w:rsidRDefault="00617872">
            <w:r>
              <w:t>84.11</w:t>
            </w:r>
            <w:r w:rsidR="001A37AE">
              <w:t>%</w:t>
            </w:r>
          </w:p>
        </w:tc>
        <w:tc>
          <w:tcPr>
            <w:tcW w:w="2160" w:type="dxa"/>
          </w:tcPr>
          <w:p w:rsidR="009B3246" w:rsidRDefault="001A37AE">
            <w:r>
              <w:t>1.31%</w:t>
            </w:r>
          </w:p>
        </w:tc>
        <w:tc>
          <w:tcPr>
            <w:tcW w:w="2160" w:type="dxa"/>
          </w:tcPr>
          <w:p w:rsidR="009B3246" w:rsidRDefault="00617872">
            <w:r>
              <w:t>14.56</w:t>
            </w:r>
            <w:r w:rsidR="001A37AE">
              <w:t>%</w:t>
            </w:r>
          </w:p>
        </w:tc>
      </w:tr>
      <w:tr w:rsidR="009B3246">
        <w:tc>
          <w:tcPr>
            <w:tcW w:w="2160" w:type="dxa"/>
          </w:tcPr>
          <w:p w:rsidR="009B3246" w:rsidRPr="00326403" w:rsidRDefault="001A37AE">
            <w:pPr>
              <w:rPr>
                <w:b/>
              </w:rPr>
            </w:pPr>
            <w:r w:rsidRPr="00326403">
              <w:rPr>
                <w:b/>
              </w:rPr>
              <w:t>2022</w:t>
            </w:r>
          </w:p>
        </w:tc>
        <w:tc>
          <w:tcPr>
            <w:tcW w:w="2160" w:type="dxa"/>
          </w:tcPr>
          <w:p w:rsidR="009B3246" w:rsidRDefault="00617872">
            <w:r>
              <w:t>84.72</w:t>
            </w:r>
            <w:r w:rsidR="001A37AE">
              <w:t>%</w:t>
            </w:r>
          </w:p>
        </w:tc>
        <w:tc>
          <w:tcPr>
            <w:tcW w:w="2160" w:type="dxa"/>
          </w:tcPr>
          <w:p w:rsidR="009B3246" w:rsidRDefault="00617872">
            <w:r>
              <w:t>0.71</w:t>
            </w:r>
            <w:r w:rsidR="001A37AE">
              <w:t>%</w:t>
            </w:r>
          </w:p>
        </w:tc>
        <w:tc>
          <w:tcPr>
            <w:tcW w:w="2160" w:type="dxa"/>
          </w:tcPr>
          <w:p w:rsidR="009B3246" w:rsidRDefault="001A37AE" w:rsidP="00617872">
            <w:r>
              <w:t>14.5</w:t>
            </w:r>
            <w:r w:rsidR="00617872">
              <w:t>5</w:t>
            </w:r>
            <w:r>
              <w:t>%</w:t>
            </w:r>
          </w:p>
        </w:tc>
      </w:tr>
      <w:tr w:rsidR="009B3246">
        <w:tc>
          <w:tcPr>
            <w:tcW w:w="2160" w:type="dxa"/>
          </w:tcPr>
          <w:p w:rsidR="009B3246" w:rsidRPr="00326403" w:rsidRDefault="001A37AE">
            <w:pPr>
              <w:rPr>
                <w:b/>
              </w:rPr>
            </w:pPr>
            <w:r w:rsidRPr="00326403">
              <w:rPr>
                <w:b/>
              </w:rPr>
              <w:t>2023</w:t>
            </w:r>
          </w:p>
        </w:tc>
        <w:tc>
          <w:tcPr>
            <w:tcW w:w="2160" w:type="dxa"/>
          </w:tcPr>
          <w:p w:rsidR="009B3246" w:rsidRDefault="00617872">
            <w:r>
              <w:t>86.65</w:t>
            </w:r>
            <w:r w:rsidR="001A37AE">
              <w:t>%</w:t>
            </w:r>
          </w:p>
        </w:tc>
        <w:tc>
          <w:tcPr>
            <w:tcW w:w="2160" w:type="dxa"/>
          </w:tcPr>
          <w:p w:rsidR="009B3246" w:rsidRDefault="00617872">
            <w:r>
              <w:t>0.85</w:t>
            </w:r>
            <w:r w:rsidR="001A37AE">
              <w:t>%</w:t>
            </w:r>
          </w:p>
        </w:tc>
        <w:tc>
          <w:tcPr>
            <w:tcW w:w="2160" w:type="dxa"/>
          </w:tcPr>
          <w:p w:rsidR="009B3246" w:rsidRDefault="00617872">
            <w:r>
              <w:t>12.48</w:t>
            </w:r>
            <w:r w:rsidR="001A37AE">
              <w:t>%</w:t>
            </w:r>
          </w:p>
        </w:tc>
      </w:tr>
      <w:tr w:rsidR="009B3246">
        <w:tc>
          <w:tcPr>
            <w:tcW w:w="2160" w:type="dxa"/>
          </w:tcPr>
          <w:p w:rsidR="009B3246" w:rsidRPr="00326403" w:rsidRDefault="001A37AE">
            <w:pPr>
              <w:rPr>
                <w:b/>
              </w:rPr>
            </w:pPr>
            <w:r w:rsidRPr="00326403">
              <w:rPr>
                <w:b/>
              </w:rPr>
              <w:t>2024</w:t>
            </w:r>
          </w:p>
        </w:tc>
        <w:tc>
          <w:tcPr>
            <w:tcW w:w="2160" w:type="dxa"/>
          </w:tcPr>
          <w:p w:rsidR="009B3246" w:rsidRDefault="001A37AE">
            <w:r>
              <w:t>91.06%</w:t>
            </w:r>
          </w:p>
        </w:tc>
        <w:tc>
          <w:tcPr>
            <w:tcW w:w="2160" w:type="dxa"/>
          </w:tcPr>
          <w:p w:rsidR="009B3246" w:rsidRDefault="001A37AE">
            <w:r>
              <w:t>0.81%</w:t>
            </w:r>
          </w:p>
        </w:tc>
        <w:tc>
          <w:tcPr>
            <w:tcW w:w="2160" w:type="dxa"/>
          </w:tcPr>
          <w:p w:rsidR="009B3246" w:rsidRDefault="001A37AE" w:rsidP="00617872">
            <w:r>
              <w:t>8.1</w:t>
            </w:r>
            <w:r w:rsidR="00617872">
              <w:t>2</w:t>
            </w:r>
            <w:r>
              <w:t>%</w:t>
            </w:r>
          </w:p>
        </w:tc>
      </w:tr>
    </w:tbl>
    <w:p w:rsidR="001A37AE" w:rsidRDefault="001A37AE">
      <w:bookmarkStart w:id="0" w:name="_GoBack"/>
      <w:bookmarkEnd w:id="0"/>
    </w:p>
    <w:sectPr w:rsidR="001A37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A37AE"/>
    <w:rsid w:val="0029639D"/>
    <w:rsid w:val="00326403"/>
    <w:rsid w:val="00326F90"/>
    <w:rsid w:val="00617872"/>
    <w:rsid w:val="007B45B0"/>
    <w:rsid w:val="009B324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4A4EA"/>
  <w14:defaultImageDpi w14:val="300"/>
  <w15:docId w15:val="{391F5B6C-64F7-40A5-9D24-05773553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19ED62-9D9E-46EA-A8B7-540154E6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AlexB</cp:lastModifiedBy>
  <cp:revision>3</cp:revision>
  <dcterms:created xsi:type="dcterms:W3CDTF">2013-12-23T23:15:00Z</dcterms:created>
  <dcterms:modified xsi:type="dcterms:W3CDTF">2025-07-21T10:05:00Z</dcterms:modified>
  <cp:category/>
</cp:coreProperties>
</file>